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EBCF" w14:textId="77777777" w:rsidR="00A87BD1" w:rsidRPr="0014433D" w:rsidRDefault="00A87BD1" w:rsidP="005C203E">
      <w:pPr>
        <w:spacing w:before="5040" w:after="1320"/>
        <w:ind w:left="547" w:right="850"/>
        <w:jc w:val="center"/>
        <w:rPr>
          <w:rFonts w:ascii="Arial" w:hAnsi="Arial" w:cs="Arial"/>
          <w:b/>
          <w:sz w:val="44"/>
        </w:rPr>
      </w:pPr>
      <w:r w:rsidRPr="0014433D">
        <w:rPr>
          <w:rFonts w:ascii="Arial" w:hAnsi="Arial" w:cs="Arial"/>
          <w:b/>
          <w:sz w:val="44"/>
        </w:rPr>
        <w:t>APPENDIX E</w:t>
      </w:r>
    </w:p>
    <w:p w14:paraId="4272DDCB" w14:textId="36D06384" w:rsidR="0014433D" w:rsidRDefault="00A87BD1" w:rsidP="00625387">
      <w:pPr>
        <w:ind w:left="546" w:right="844"/>
        <w:jc w:val="center"/>
        <w:rPr>
          <w:b/>
          <w:sz w:val="36"/>
        </w:rPr>
      </w:pPr>
      <w:bookmarkStart w:id="0" w:name="_Hlk98336717"/>
      <w:r w:rsidRPr="0014433D">
        <w:rPr>
          <w:rFonts w:ascii="Arial" w:hAnsi="Arial" w:cs="Arial"/>
          <w:b/>
          <w:sz w:val="36"/>
        </w:rPr>
        <w:t>REQUIREMENTS FOR CLASSES OF FACILITIES EMITTING LESS THAN 10 TONS PER YEAR OF CRITERIA POLLUTANTS</w:t>
      </w:r>
      <w:bookmarkEnd w:id="0"/>
      <w:r w:rsidR="0014433D">
        <w:rPr>
          <w:b/>
          <w:sz w:val="36"/>
        </w:rPr>
        <w:br w:type="page"/>
      </w:r>
    </w:p>
    <w:p w14:paraId="542FA7C1" w14:textId="77777777" w:rsidR="0014433D" w:rsidRPr="0014433D" w:rsidRDefault="0014433D" w:rsidP="0014433D">
      <w:pPr>
        <w:spacing w:after="200" w:line="276" w:lineRule="auto"/>
        <w:jc w:val="center"/>
        <w:rPr>
          <w:rFonts w:ascii="Calibri" w:eastAsia="Calibri" w:hAnsi="Calibri" w:cs="Times New Roman"/>
          <w:b/>
          <w:bCs/>
          <w:sz w:val="28"/>
          <w:szCs w:val="28"/>
        </w:rPr>
      </w:pPr>
    </w:p>
    <w:p w14:paraId="16E6F5CF" w14:textId="07C3A105" w:rsidR="00A87BD1" w:rsidRDefault="0014433D" w:rsidP="00625387">
      <w:pPr>
        <w:spacing w:before="6000" w:after="0" w:line="276" w:lineRule="auto"/>
        <w:jc w:val="center"/>
        <w:rPr>
          <w:b/>
          <w:sz w:val="36"/>
        </w:rPr>
      </w:pPr>
      <w:r w:rsidRPr="0014433D">
        <w:rPr>
          <w:rFonts w:ascii="Arial" w:eastAsia="Calibri" w:hAnsi="Arial" w:cs="Arial"/>
          <w:bCs/>
          <w:sz w:val="24"/>
          <w:szCs w:val="24"/>
        </w:rPr>
        <w:t>This Page Intentionally Left Blank</w:t>
      </w:r>
    </w:p>
    <w:p w14:paraId="76FEB6DD" w14:textId="77777777" w:rsidR="007D2AB6" w:rsidRDefault="007D2AB6">
      <w:pPr>
        <w:rPr>
          <w:b/>
          <w:sz w:val="17"/>
        </w:rPr>
        <w:sectPr w:rsidR="007D2AB6" w:rsidSect="00776407">
          <w:footerReference w:type="default" r:id="rId11"/>
          <w:headerReference w:type="first" r:id="rId12"/>
          <w:pgSz w:w="12240" w:h="15840"/>
          <w:pgMar w:top="920" w:right="1060" w:bottom="980" w:left="1360" w:header="720" w:footer="791" w:gutter="0"/>
          <w:pgNumType w:start="1"/>
          <w:cols w:space="720"/>
          <w:titlePg/>
          <w:docGrid w:linePitch="299"/>
        </w:sectPr>
      </w:pPr>
    </w:p>
    <w:p w14:paraId="4C77D880" w14:textId="77777777" w:rsidR="00A87BD1" w:rsidRPr="00140C3F" w:rsidRDefault="00A87BD1" w:rsidP="00813800">
      <w:pPr>
        <w:pStyle w:val="Heading1"/>
        <w:spacing w:before="75" w:after="240"/>
        <w:rPr>
          <w:u w:val="none"/>
        </w:rPr>
      </w:pPr>
      <w:r w:rsidRPr="00140C3F">
        <w:rPr>
          <w:u w:val="none"/>
        </w:rPr>
        <w:lastRenderedPageBreak/>
        <w:t>APPENDIX E</w:t>
      </w:r>
    </w:p>
    <w:p w14:paraId="626C4790" w14:textId="77777777" w:rsidR="00A87BD1" w:rsidRPr="00140C3F" w:rsidRDefault="00A87BD1" w:rsidP="00606FCC">
      <w:pPr>
        <w:spacing w:after="240"/>
        <w:ind w:left="1548" w:right="1700" w:hanging="3"/>
        <w:jc w:val="center"/>
        <w:rPr>
          <w:rFonts w:ascii="Arial" w:hAnsi="Arial" w:cs="Arial"/>
          <w:b/>
          <w:sz w:val="28"/>
        </w:rPr>
      </w:pPr>
      <w:r w:rsidRPr="00140C3F">
        <w:rPr>
          <w:rFonts w:ascii="Arial" w:hAnsi="Arial" w:cs="Arial"/>
          <w:b/>
          <w:sz w:val="28"/>
        </w:rPr>
        <w:t>Requirements for Classes of Facilities Emitting Less Than 10 Tons Per Year of Criteria Pollutants</w:t>
      </w:r>
    </w:p>
    <w:p w14:paraId="0A00F0D5" w14:textId="77777777" w:rsidR="009A39AA" w:rsidRPr="005C1F30" w:rsidRDefault="009A39AA" w:rsidP="00417CDE">
      <w:pPr>
        <w:tabs>
          <w:tab w:val="left" w:pos="9630"/>
        </w:tabs>
        <w:spacing w:after="240"/>
        <w:ind w:left="173" w:right="187"/>
        <w:rPr>
          <w:rFonts w:ascii="Arial" w:hAnsi="Arial" w:cs="Arial"/>
          <w:sz w:val="24"/>
          <w:szCs w:val="24"/>
        </w:rPr>
      </w:pPr>
      <w:r w:rsidRPr="005C1F30">
        <w:rPr>
          <w:rFonts w:ascii="Arial" w:hAnsi="Arial" w:cs="Arial"/>
          <w:sz w:val="24"/>
          <w:szCs w:val="24"/>
        </w:rPr>
        <w:t>Appendix E contains Table E-1, Table E-2, and Table E-3, which are referred to from EICG Section II.E.</w:t>
      </w:r>
    </w:p>
    <w:p w14:paraId="3355B307" w14:textId="2EA9E09B" w:rsidR="00625A4D" w:rsidRPr="005C203E" w:rsidRDefault="00625A4D" w:rsidP="00EC0B11">
      <w:pPr>
        <w:spacing w:after="120" w:line="240" w:lineRule="auto"/>
        <w:jc w:val="center"/>
        <w:outlineLvl w:val="2"/>
        <w:rPr>
          <w:rFonts w:ascii="Arial" w:eastAsia="Arial" w:hAnsi="Arial" w:cs="Arial"/>
          <w:b/>
          <w:sz w:val="24"/>
        </w:rPr>
      </w:pPr>
      <w:r w:rsidRPr="005C203E">
        <w:rPr>
          <w:rFonts w:ascii="Arial" w:eastAsia="Arial" w:hAnsi="Arial" w:cs="Arial"/>
          <w:b/>
          <w:sz w:val="24"/>
        </w:rPr>
        <w:t xml:space="preserve">Table </w:t>
      </w:r>
      <w:r w:rsidR="00981DB4" w:rsidRPr="005C203E">
        <w:rPr>
          <w:rFonts w:ascii="Arial" w:eastAsia="Arial" w:hAnsi="Arial" w:cs="Arial"/>
          <w:b/>
          <w:sz w:val="24"/>
        </w:rPr>
        <w:t>E-</w:t>
      </w:r>
      <w:r w:rsidR="002101D9" w:rsidRPr="005C203E">
        <w:rPr>
          <w:rFonts w:ascii="Arial" w:eastAsia="Arial" w:hAnsi="Arial" w:cs="Arial"/>
          <w:b/>
          <w:sz w:val="24"/>
        </w:rPr>
        <w:t>1</w:t>
      </w:r>
      <w:r w:rsidRPr="005C203E">
        <w:rPr>
          <w:rFonts w:ascii="Arial" w:eastAsia="Arial" w:hAnsi="Arial" w:cs="Arial"/>
          <w:b/>
          <w:sz w:val="24"/>
        </w:rPr>
        <w:t xml:space="preserve">. </w:t>
      </w:r>
      <w:r w:rsidRPr="005C203E">
        <w:rPr>
          <w:rFonts w:ascii="Arial" w:eastAsia="Arial" w:hAnsi="Arial" w:cs="Arial"/>
          <w:b/>
          <w:sz w:val="24"/>
        </w:rPr>
        <w:br/>
        <w:t>Phase-in schedule for reporting by District Group and Sector Phase*</w:t>
      </w:r>
    </w:p>
    <w:tbl>
      <w:tblPr>
        <w:tblStyle w:val="TableGrid1"/>
        <w:tblW w:w="4169"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4"/>
        <w:gridCol w:w="1802"/>
        <w:gridCol w:w="1620"/>
        <w:gridCol w:w="1620"/>
        <w:gridCol w:w="1763"/>
      </w:tblGrid>
      <w:tr w:rsidR="00EC0B11" w:rsidRPr="005C203E" w14:paraId="294DDC04" w14:textId="77777777" w:rsidTr="00EC0B11">
        <w:trPr>
          <w:jc w:val="center"/>
        </w:trPr>
        <w:tc>
          <w:tcPr>
            <w:tcW w:w="627" w:type="pct"/>
            <w:vMerge w:val="restart"/>
            <w:tcBorders>
              <w:top w:val="single" w:sz="12" w:space="0" w:color="auto"/>
            </w:tcBorders>
            <w:shd w:val="clear" w:color="auto" w:fill="FFFFFF"/>
            <w:vAlign w:val="center"/>
          </w:tcPr>
          <w:p w14:paraId="79C1F52C" w14:textId="77777777" w:rsidR="00EC0B11" w:rsidRPr="005C203E" w:rsidRDefault="00EC0B11" w:rsidP="00625A4D">
            <w:pPr>
              <w:keepNext/>
              <w:widowControl w:val="0"/>
              <w:autoSpaceDE w:val="0"/>
              <w:autoSpaceDN w:val="0"/>
              <w:spacing w:before="60" w:after="60"/>
              <w:ind w:right="1"/>
              <w:jc w:val="center"/>
              <w:rPr>
                <w:rFonts w:ascii="Arial" w:eastAsia="Arial" w:hAnsi="Arial" w:cs="Arial"/>
                <w:b/>
                <w:szCs w:val="24"/>
              </w:rPr>
            </w:pPr>
            <w:r w:rsidRPr="005C203E">
              <w:rPr>
                <w:rFonts w:ascii="Arial" w:eastAsia="Arial" w:hAnsi="Arial" w:cs="Arial"/>
                <w:b/>
                <w:szCs w:val="24"/>
              </w:rPr>
              <w:t>District Group</w:t>
            </w:r>
          </w:p>
        </w:tc>
        <w:tc>
          <w:tcPr>
            <w:tcW w:w="4373" w:type="pct"/>
            <w:gridSpan w:val="4"/>
            <w:tcBorders>
              <w:top w:val="single" w:sz="12" w:space="0" w:color="auto"/>
              <w:bottom w:val="nil"/>
              <w:right w:val="single" w:sz="12" w:space="0" w:color="auto"/>
            </w:tcBorders>
            <w:shd w:val="clear" w:color="auto" w:fill="FFFFFF"/>
            <w:vAlign w:val="center"/>
          </w:tcPr>
          <w:p w14:paraId="04CFAB94" w14:textId="4984B3EA" w:rsidR="00EC0B11" w:rsidRPr="005C203E" w:rsidRDefault="00EC0B11" w:rsidP="00667ED0">
            <w:pPr>
              <w:keepNext/>
              <w:widowControl w:val="0"/>
              <w:autoSpaceDE w:val="0"/>
              <w:autoSpaceDN w:val="0"/>
              <w:spacing w:before="60" w:after="60"/>
              <w:jc w:val="center"/>
              <w:rPr>
                <w:rFonts w:ascii="Arial" w:eastAsia="Arial" w:hAnsi="Arial" w:cs="Arial"/>
                <w:b/>
                <w:szCs w:val="24"/>
              </w:rPr>
            </w:pPr>
            <w:r w:rsidRPr="005C203E">
              <w:rPr>
                <w:rFonts w:ascii="Arial" w:eastAsia="Arial" w:hAnsi="Arial" w:cs="Arial"/>
                <w:b/>
                <w:szCs w:val="24"/>
              </w:rPr>
              <w:t>Initial Data Year</w:t>
            </w:r>
          </w:p>
          <w:p w14:paraId="5AEE0EFF" w14:textId="008EE40E" w:rsidR="00EC0B11" w:rsidRPr="005C203E" w:rsidRDefault="00EC0B11" w:rsidP="00C45D53">
            <w:pPr>
              <w:keepNext/>
              <w:widowControl w:val="0"/>
              <w:autoSpaceDE w:val="0"/>
              <w:autoSpaceDN w:val="0"/>
              <w:spacing w:before="60" w:after="60"/>
              <w:jc w:val="center"/>
              <w:rPr>
                <w:rFonts w:ascii="Arial" w:eastAsia="Arial" w:hAnsi="Arial" w:cs="Arial"/>
                <w:b/>
                <w:szCs w:val="24"/>
              </w:rPr>
            </w:pPr>
          </w:p>
        </w:tc>
      </w:tr>
      <w:tr w:rsidR="00EC0B11" w:rsidRPr="005C203E" w14:paraId="757122B9" w14:textId="77777777" w:rsidTr="00EC0B11">
        <w:trPr>
          <w:jc w:val="center"/>
        </w:trPr>
        <w:tc>
          <w:tcPr>
            <w:tcW w:w="627" w:type="pct"/>
            <w:vMerge/>
            <w:tcBorders>
              <w:bottom w:val="single" w:sz="12" w:space="0" w:color="auto"/>
            </w:tcBorders>
            <w:shd w:val="clear" w:color="auto" w:fill="FFFFFF"/>
            <w:vAlign w:val="center"/>
          </w:tcPr>
          <w:p w14:paraId="2AFE3F26" w14:textId="77777777" w:rsidR="00EC0B11" w:rsidRPr="005C203E" w:rsidRDefault="00EC0B11" w:rsidP="00625A4D">
            <w:pPr>
              <w:keepNext/>
              <w:widowControl w:val="0"/>
              <w:autoSpaceDE w:val="0"/>
              <w:autoSpaceDN w:val="0"/>
              <w:spacing w:before="60" w:after="60"/>
              <w:ind w:right="1"/>
              <w:jc w:val="center"/>
              <w:rPr>
                <w:rFonts w:ascii="Arial" w:eastAsia="Arial" w:hAnsi="Arial" w:cs="Arial"/>
                <w:b/>
                <w:szCs w:val="24"/>
              </w:rPr>
            </w:pPr>
          </w:p>
        </w:tc>
        <w:tc>
          <w:tcPr>
            <w:tcW w:w="1158" w:type="pct"/>
            <w:tcBorders>
              <w:top w:val="single" w:sz="4" w:space="0" w:color="auto"/>
              <w:bottom w:val="single" w:sz="12" w:space="0" w:color="auto"/>
            </w:tcBorders>
            <w:shd w:val="clear" w:color="auto" w:fill="FFFFFF"/>
            <w:vAlign w:val="center"/>
          </w:tcPr>
          <w:p w14:paraId="76C96965" w14:textId="1FC207EC" w:rsidR="00EC0B11" w:rsidRPr="005C203E" w:rsidRDefault="00EC0B11" w:rsidP="0099429A">
            <w:pPr>
              <w:keepNext/>
              <w:widowControl w:val="0"/>
              <w:autoSpaceDE w:val="0"/>
              <w:autoSpaceDN w:val="0"/>
              <w:spacing w:before="60" w:after="60"/>
              <w:jc w:val="center"/>
              <w:rPr>
                <w:rFonts w:ascii="Arial" w:eastAsia="Arial" w:hAnsi="Arial" w:cs="Arial"/>
                <w:b/>
                <w:szCs w:val="24"/>
              </w:rPr>
            </w:pPr>
            <w:r w:rsidRPr="005C203E">
              <w:rPr>
                <w:rFonts w:ascii="Arial" w:eastAsia="Arial" w:hAnsi="Arial" w:cs="Arial"/>
                <w:b/>
                <w:szCs w:val="24"/>
              </w:rPr>
              <w:t>Sector Phase 1**</w:t>
            </w:r>
          </w:p>
        </w:tc>
        <w:tc>
          <w:tcPr>
            <w:tcW w:w="1041" w:type="pct"/>
            <w:tcBorders>
              <w:top w:val="single" w:sz="4" w:space="0" w:color="auto"/>
              <w:bottom w:val="single" w:sz="12" w:space="0" w:color="auto"/>
            </w:tcBorders>
            <w:shd w:val="clear" w:color="auto" w:fill="FFFFFF"/>
            <w:vAlign w:val="center"/>
          </w:tcPr>
          <w:p w14:paraId="27DD4AAB" w14:textId="77777777" w:rsidR="00EC0B11" w:rsidRPr="005C203E" w:rsidRDefault="00EC0B11" w:rsidP="00625A4D">
            <w:pPr>
              <w:keepNext/>
              <w:widowControl w:val="0"/>
              <w:autoSpaceDE w:val="0"/>
              <w:autoSpaceDN w:val="0"/>
              <w:spacing w:before="60" w:after="60"/>
              <w:jc w:val="center"/>
              <w:rPr>
                <w:rFonts w:ascii="Arial" w:eastAsia="Arial" w:hAnsi="Arial" w:cs="Arial"/>
                <w:b/>
                <w:szCs w:val="24"/>
              </w:rPr>
            </w:pPr>
            <w:r w:rsidRPr="005C203E">
              <w:rPr>
                <w:rFonts w:ascii="Arial" w:eastAsia="Arial" w:hAnsi="Arial" w:cs="Arial"/>
                <w:b/>
                <w:szCs w:val="24"/>
              </w:rPr>
              <w:t>Sector Phase 2</w:t>
            </w:r>
          </w:p>
        </w:tc>
        <w:tc>
          <w:tcPr>
            <w:tcW w:w="1041" w:type="pct"/>
            <w:tcBorders>
              <w:top w:val="single" w:sz="4" w:space="0" w:color="auto"/>
              <w:bottom w:val="single" w:sz="12" w:space="0" w:color="auto"/>
            </w:tcBorders>
            <w:shd w:val="clear" w:color="auto" w:fill="FFFFFF"/>
            <w:vAlign w:val="center"/>
          </w:tcPr>
          <w:p w14:paraId="6F864913" w14:textId="77777777" w:rsidR="00EC0B11" w:rsidRPr="005C203E" w:rsidRDefault="00EC0B11" w:rsidP="00625A4D">
            <w:pPr>
              <w:keepNext/>
              <w:widowControl w:val="0"/>
              <w:autoSpaceDE w:val="0"/>
              <w:autoSpaceDN w:val="0"/>
              <w:spacing w:before="60" w:after="60"/>
              <w:jc w:val="center"/>
              <w:rPr>
                <w:rFonts w:ascii="Arial" w:eastAsia="Arial" w:hAnsi="Arial" w:cs="Arial"/>
                <w:b/>
                <w:szCs w:val="24"/>
              </w:rPr>
            </w:pPr>
            <w:r w:rsidRPr="005C203E">
              <w:rPr>
                <w:rFonts w:ascii="Arial" w:eastAsia="Arial" w:hAnsi="Arial" w:cs="Arial"/>
                <w:b/>
                <w:szCs w:val="24"/>
              </w:rPr>
              <w:t>Sector Phase 3</w:t>
            </w:r>
          </w:p>
        </w:tc>
        <w:tc>
          <w:tcPr>
            <w:tcW w:w="1133" w:type="pct"/>
            <w:tcBorders>
              <w:bottom w:val="single" w:sz="12" w:space="0" w:color="auto"/>
              <w:right w:val="single" w:sz="12" w:space="0" w:color="auto"/>
            </w:tcBorders>
            <w:shd w:val="clear" w:color="auto" w:fill="FFFFFF"/>
            <w:vAlign w:val="center"/>
          </w:tcPr>
          <w:p w14:paraId="2D1C8072" w14:textId="67D54D0D" w:rsidR="00EC0B11" w:rsidRPr="005C203E" w:rsidRDefault="00EC0B11" w:rsidP="00C45D53">
            <w:pPr>
              <w:keepNext/>
              <w:widowControl w:val="0"/>
              <w:autoSpaceDE w:val="0"/>
              <w:autoSpaceDN w:val="0"/>
              <w:spacing w:before="60" w:after="60"/>
              <w:jc w:val="center"/>
              <w:rPr>
                <w:rFonts w:ascii="Arial" w:eastAsia="Arial" w:hAnsi="Arial" w:cs="Arial"/>
                <w:b/>
                <w:szCs w:val="24"/>
              </w:rPr>
            </w:pPr>
            <w:r w:rsidRPr="005C203E">
              <w:rPr>
                <w:rFonts w:ascii="Arial" w:eastAsia="Arial" w:hAnsi="Arial" w:cs="Arial"/>
                <w:b/>
                <w:szCs w:val="24"/>
              </w:rPr>
              <w:t>Sector Phase 3B***</w:t>
            </w:r>
          </w:p>
        </w:tc>
      </w:tr>
      <w:tr w:rsidR="00EC0B11" w:rsidRPr="005C203E" w14:paraId="39A12F98" w14:textId="77777777" w:rsidTr="00EC0B11">
        <w:trPr>
          <w:jc w:val="center"/>
        </w:trPr>
        <w:tc>
          <w:tcPr>
            <w:tcW w:w="627" w:type="pct"/>
            <w:tcBorders>
              <w:top w:val="single" w:sz="12" w:space="0" w:color="auto"/>
            </w:tcBorders>
            <w:shd w:val="clear" w:color="auto" w:fill="FFFFFF"/>
            <w:vAlign w:val="center"/>
          </w:tcPr>
          <w:p w14:paraId="104E040D" w14:textId="77777777" w:rsidR="00EC0B11" w:rsidRPr="005C203E" w:rsidRDefault="00EC0B11" w:rsidP="00625A4D">
            <w:pPr>
              <w:keepNext/>
              <w:widowControl w:val="0"/>
              <w:autoSpaceDE w:val="0"/>
              <w:autoSpaceDN w:val="0"/>
              <w:spacing w:before="60" w:after="60"/>
              <w:ind w:right="1"/>
              <w:jc w:val="center"/>
              <w:rPr>
                <w:rFonts w:ascii="Arial" w:eastAsia="Arial" w:hAnsi="Arial" w:cs="Arial"/>
                <w:b/>
                <w:szCs w:val="24"/>
              </w:rPr>
            </w:pPr>
            <w:r w:rsidRPr="005C203E">
              <w:rPr>
                <w:rFonts w:ascii="Arial" w:eastAsia="Arial" w:hAnsi="Arial" w:cs="Arial"/>
                <w:b/>
                <w:szCs w:val="24"/>
              </w:rPr>
              <w:t>A</w:t>
            </w:r>
          </w:p>
        </w:tc>
        <w:tc>
          <w:tcPr>
            <w:tcW w:w="1158" w:type="pct"/>
            <w:tcBorders>
              <w:top w:val="single" w:sz="12" w:space="0" w:color="auto"/>
            </w:tcBorders>
            <w:shd w:val="clear" w:color="auto" w:fill="FFFFFF"/>
            <w:vAlign w:val="center"/>
          </w:tcPr>
          <w:p w14:paraId="1BFE2F7B" w14:textId="77777777" w:rsidR="00EC0B11" w:rsidRPr="005C203E" w:rsidRDefault="00EC0B11" w:rsidP="00625A4D">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2022</w:t>
            </w:r>
          </w:p>
        </w:tc>
        <w:tc>
          <w:tcPr>
            <w:tcW w:w="1041" w:type="pct"/>
            <w:tcBorders>
              <w:top w:val="single" w:sz="12" w:space="0" w:color="auto"/>
            </w:tcBorders>
            <w:shd w:val="clear" w:color="auto" w:fill="FFFFFF"/>
            <w:vAlign w:val="center"/>
          </w:tcPr>
          <w:p w14:paraId="0170437A" w14:textId="77777777" w:rsidR="00EC0B11" w:rsidRPr="005C203E" w:rsidRDefault="00EC0B11" w:rsidP="00625A4D">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2024</w:t>
            </w:r>
          </w:p>
        </w:tc>
        <w:tc>
          <w:tcPr>
            <w:tcW w:w="1041" w:type="pct"/>
            <w:tcBorders>
              <w:top w:val="single" w:sz="12" w:space="0" w:color="auto"/>
            </w:tcBorders>
            <w:shd w:val="clear" w:color="auto" w:fill="FFFFFF"/>
            <w:vAlign w:val="center"/>
          </w:tcPr>
          <w:p w14:paraId="4AD93EDD" w14:textId="77777777" w:rsidR="00EC0B11" w:rsidRPr="005C203E" w:rsidRDefault="00EC0B11" w:rsidP="00625A4D">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2025</w:t>
            </w:r>
          </w:p>
        </w:tc>
        <w:tc>
          <w:tcPr>
            <w:tcW w:w="1133" w:type="pct"/>
            <w:tcBorders>
              <w:top w:val="single" w:sz="12" w:space="0" w:color="auto"/>
              <w:right w:val="single" w:sz="12" w:space="0" w:color="auto"/>
            </w:tcBorders>
            <w:shd w:val="clear" w:color="auto" w:fill="FFFFFF"/>
            <w:vAlign w:val="center"/>
          </w:tcPr>
          <w:p w14:paraId="5475213C" w14:textId="1D151871" w:rsidR="00EC0B11" w:rsidRPr="005C203E" w:rsidRDefault="00EC0B11" w:rsidP="00625A4D">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2028</w:t>
            </w:r>
          </w:p>
        </w:tc>
      </w:tr>
      <w:tr w:rsidR="00EC0B11" w:rsidRPr="005C203E" w14:paraId="20F8A88A" w14:textId="77777777" w:rsidTr="00EC0B11">
        <w:trPr>
          <w:jc w:val="center"/>
        </w:trPr>
        <w:tc>
          <w:tcPr>
            <w:tcW w:w="627" w:type="pct"/>
            <w:shd w:val="clear" w:color="auto" w:fill="FFFFFF"/>
            <w:vAlign w:val="center"/>
          </w:tcPr>
          <w:p w14:paraId="77ABAFDC" w14:textId="77777777" w:rsidR="00EC0B11" w:rsidRPr="005C203E" w:rsidRDefault="00EC0B11" w:rsidP="00625A4D">
            <w:pPr>
              <w:keepNext/>
              <w:widowControl w:val="0"/>
              <w:autoSpaceDE w:val="0"/>
              <w:autoSpaceDN w:val="0"/>
              <w:spacing w:before="60" w:after="60"/>
              <w:ind w:right="1"/>
              <w:jc w:val="center"/>
              <w:rPr>
                <w:rFonts w:ascii="Arial" w:eastAsia="Arial" w:hAnsi="Arial" w:cs="Arial"/>
                <w:b/>
                <w:szCs w:val="24"/>
              </w:rPr>
            </w:pPr>
            <w:r w:rsidRPr="005C203E">
              <w:rPr>
                <w:rFonts w:ascii="Arial" w:eastAsia="Arial" w:hAnsi="Arial" w:cs="Arial"/>
                <w:b/>
                <w:szCs w:val="24"/>
              </w:rPr>
              <w:t>B</w:t>
            </w:r>
          </w:p>
        </w:tc>
        <w:tc>
          <w:tcPr>
            <w:tcW w:w="1158" w:type="pct"/>
            <w:shd w:val="clear" w:color="auto" w:fill="FFFFFF"/>
            <w:vAlign w:val="center"/>
          </w:tcPr>
          <w:p w14:paraId="10867C5E" w14:textId="5604F588" w:rsidR="00EC0B11" w:rsidRPr="005C203E" w:rsidRDefault="00EC0B11" w:rsidP="00CF1488">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2024</w:t>
            </w:r>
          </w:p>
        </w:tc>
        <w:tc>
          <w:tcPr>
            <w:tcW w:w="1041" w:type="pct"/>
            <w:shd w:val="clear" w:color="auto" w:fill="FFFFFF"/>
            <w:vAlign w:val="center"/>
          </w:tcPr>
          <w:p w14:paraId="125DD5ED" w14:textId="174C4431" w:rsidR="00EC0B11" w:rsidRPr="005C203E" w:rsidRDefault="00EC0B11" w:rsidP="00CF1488">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2026</w:t>
            </w:r>
          </w:p>
        </w:tc>
        <w:tc>
          <w:tcPr>
            <w:tcW w:w="1041" w:type="pct"/>
            <w:shd w:val="clear" w:color="auto" w:fill="FFFFFF"/>
            <w:vAlign w:val="center"/>
          </w:tcPr>
          <w:p w14:paraId="34E4AC48" w14:textId="63E0C0D9" w:rsidR="00EC0B11" w:rsidRPr="005C203E" w:rsidRDefault="00EC0B11" w:rsidP="00CF1488">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2027</w:t>
            </w:r>
          </w:p>
        </w:tc>
        <w:tc>
          <w:tcPr>
            <w:tcW w:w="1133" w:type="pct"/>
            <w:tcBorders>
              <w:right w:val="single" w:sz="12" w:space="0" w:color="auto"/>
            </w:tcBorders>
            <w:shd w:val="clear" w:color="auto" w:fill="FFFFFF"/>
            <w:vAlign w:val="center"/>
          </w:tcPr>
          <w:p w14:paraId="5491006C" w14:textId="599775CF" w:rsidR="00EC0B11" w:rsidRPr="005C203E" w:rsidRDefault="00EC0B11" w:rsidP="004D7590">
            <w:pPr>
              <w:keepNext/>
              <w:widowControl w:val="0"/>
              <w:autoSpaceDE w:val="0"/>
              <w:autoSpaceDN w:val="0"/>
              <w:spacing w:before="60" w:after="60"/>
              <w:jc w:val="center"/>
              <w:rPr>
                <w:rFonts w:ascii="Arial" w:eastAsia="Arial" w:hAnsi="Arial" w:cs="Arial"/>
                <w:szCs w:val="24"/>
              </w:rPr>
            </w:pPr>
            <w:r w:rsidRPr="005C203E">
              <w:rPr>
                <w:rFonts w:ascii="Arial" w:eastAsia="Arial" w:hAnsi="Arial" w:cs="Arial"/>
                <w:szCs w:val="24"/>
              </w:rPr>
              <w:t>2028</w:t>
            </w:r>
          </w:p>
        </w:tc>
      </w:tr>
    </w:tbl>
    <w:p w14:paraId="7E6673CC" w14:textId="77777777" w:rsidR="00625A4D" w:rsidRPr="005C203E" w:rsidRDefault="00625A4D" w:rsidP="0042177F">
      <w:pPr>
        <w:widowControl w:val="0"/>
        <w:autoSpaceDE w:val="0"/>
        <w:autoSpaceDN w:val="0"/>
        <w:spacing w:before="240" w:after="120" w:line="240" w:lineRule="auto"/>
        <w:ind w:left="630" w:hanging="270"/>
        <w:rPr>
          <w:rFonts w:ascii="Arial" w:eastAsia="Arial" w:hAnsi="Arial" w:cs="Arial"/>
          <w:sz w:val="20"/>
          <w:szCs w:val="20"/>
        </w:rPr>
      </w:pPr>
      <w:r w:rsidRPr="005C203E">
        <w:rPr>
          <w:rFonts w:ascii="Arial" w:eastAsia="Arial" w:hAnsi="Arial" w:cs="Arial"/>
          <w:sz w:val="24"/>
          <w:szCs w:val="24"/>
        </w:rPr>
        <w:t>*</w:t>
      </w:r>
      <w:r w:rsidRPr="005C203E">
        <w:rPr>
          <w:rFonts w:ascii="Arial" w:eastAsia="Arial" w:hAnsi="Arial" w:cs="Arial"/>
          <w:sz w:val="20"/>
          <w:szCs w:val="24"/>
        </w:rPr>
        <w:tab/>
      </w:r>
      <w:r w:rsidRPr="005C203E">
        <w:rPr>
          <w:rFonts w:ascii="Arial" w:eastAsia="Arial" w:hAnsi="Arial" w:cs="Arial"/>
          <w:sz w:val="20"/>
          <w:szCs w:val="20"/>
        </w:rPr>
        <w:t>The initial data year is the first data year subject to reporting. For example, for District Group A, Sector Phase 1, 2022 data must be submitted during 2023.</w:t>
      </w:r>
    </w:p>
    <w:p w14:paraId="3B7545C2" w14:textId="04F6908F" w:rsidR="00625A4D" w:rsidRPr="005C203E" w:rsidRDefault="00625A4D" w:rsidP="0042177F">
      <w:pPr>
        <w:widowControl w:val="0"/>
        <w:autoSpaceDE w:val="0"/>
        <w:autoSpaceDN w:val="0"/>
        <w:spacing w:before="60" w:after="120" w:line="240" w:lineRule="auto"/>
        <w:ind w:left="630" w:hanging="270"/>
        <w:rPr>
          <w:rFonts w:ascii="Arial" w:eastAsia="Arial" w:hAnsi="Arial" w:cs="Arial"/>
          <w:sz w:val="20"/>
          <w:szCs w:val="20"/>
        </w:rPr>
      </w:pPr>
      <w:r w:rsidRPr="005C203E">
        <w:rPr>
          <w:rFonts w:ascii="Arial" w:eastAsia="Arial" w:hAnsi="Arial" w:cs="Arial"/>
          <w:sz w:val="20"/>
          <w:szCs w:val="20"/>
        </w:rPr>
        <w:t>**</w:t>
      </w:r>
      <w:r w:rsidR="0042177F" w:rsidRPr="005C203E">
        <w:rPr>
          <w:rFonts w:ascii="Arial" w:eastAsia="Arial" w:hAnsi="Arial" w:cs="Arial"/>
          <w:sz w:val="20"/>
          <w:szCs w:val="20"/>
        </w:rPr>
        <w:tab/>
      </w:r>
      <w:r w:rsidRPr="005C203E">
        <w:rPr>
          <w:rFonts w:ascii="Arial" w:eastAsia="Arial" w:hAnsi="Arial" w:cs="Arial"/>
          <w:sz w:val="20"/>
          <w:szCs w:val="20"/>
        </w:rPr>
        <w:t>Agricultural operation facilities that are required to submit reports pursuant to a threshold identified in Appendix E</w:t>
      </w:r>
      <w:r w:rsidR="00667ED0" w:rsidRPr="005C203E">
        <w:rPr>
          <w:rFonts w:ascii="Arial" w:eastAsia="Arial" w:hAnsi="Arial" w:cs="Arial"/>
          <w:sz w:val="20"/>
          <w:szCs w:val="20"/>
        </w:rPr>
        <w:t>, Table</w:t>
      </w:r>
      <w:r w:rsidR="00C13EB6" w:rsidRPr="005C203E">
        <w:rPr>
          <w:rFonts w:ascii="Arial" w:eastAsia="Arial" w:hAnsi="Arial" w:cs="Arial"/>
          <w:sz w:val="20"/>
          <w:szCs w:val="20"/>
        </w:rPr>
        <w:t>E</w:t>
      </w:r>
      <w:r w:rsidR="00667ED0" w:rsidRPr="005C203E">
        <w:rPr>
          <w:rFonts w:ascii="Arial" w:eastAsia="Arial" w:hAnsi="Arial" w:cs="Arial"/>
          <w:sz w:val="20"/>
          <w:szCs w:val="20"/>
        </w:rPr>
        <w:t>-3</w:t>
      </w:r>
      <w:r w:rsidR="008862AB" w:rsidRPr="005C203E">
        <w:rPr>
          <w:rFonts w:ascii="Arial" w:eastAsia="Arial" w:hAnsi="Arial" w:cs="Arial"/>
          <w:sz w:val="20"/>
          <w:szCs w:val="20"/>
        </w:rPr>
        <w:t>,</w:t>
      </w:r>
      <w:r w:rsidRPr="005C203E">
        <w:rPr>
          <w:rFonts w:ascii="Arial" w:eastAsia="Arial" w:hAnsi="Arial" w:cs="Arial"/>
          <w:sz w:val="20"/>
          <w:szCs w:val="20"/>
        </w:rPr>
        <w:t xml:space="preserve"> regardless of which threshold category is exceeded, may postpone the initial year of reporting to Sector Phase 3.</w:t>
      </w:r>
    </w:p>
    <w:p w14:paraId="1B7D7184" w14:textId="2013DC50" w:rsidR="003807E7" w:rsidRPr="005C1F30" w:rsidRDefault="00CF5238" w:rsidP="0042177F">
      <w:pPr>
        <w:widowControl w:val="0"/>
        <w:autoSpaceDE w:val="0"/>
        <w:autoSpaceDN w:val="0"/>
        <w:spacing w:after="240" w:line="240" w:lineRule="auto"/>
        <w:ind w:left="630" w:hanging="270"/>
        <w:rPr>
          <w:rFonts w:ascii="Arial" w:eastAsia="Arial" w:hAnsi="Arial" w:cs="Arial"/>
          <w:b/>
          <w:sz w:val="24"/>
        </w:rPr>
      </w:pPr>
      <w:r w:rsidRPr="005C203E">
        <w:rPr>
          <w:rFonts w:ascii="Arial" w:eastAsia="Arial" w:hAnsi="Arial" w:cs="Arial"/>
          <w:sz w:val="20"/>
          <w:szCs w:val="20"/>
        </w:rPr>
        <w:t>***</w:t>
      </w:r>
      <w:r w:rsidR="0042177F" w:rsidRPr="005C203E">
        <w:rPr>
          <w:rFonts w:ascii="Arial" w:eastAsia="Arial" w:hAnsi="Arial" w:cs="Arial"/>
          <w:sz w:val="20"/>
          <w:szCs w:val="20"/>
        </w:rPr>
        <w:tab/>
      </w:r>
      <w:r w:rsidRPr="005C203E">
        <w:rPr>
          <w:rFonts w:ascii="Arial" w:eastAsia="Arial" w:hAnsi="Arial" w:cs="Arial"/>
          <w:sz w:val="20"/>
          <w:szCs w:val="20"/>
        </w:rPr>
        <w:t xml:space="preserve">Facilities in the waste-handling sector subject to </w:t>
      </w:r>
      <w:r w:rsidR="00186281" w:rsidRPr="005C203E">
        <w:rPr>
          <w:rFonts w:ascii="Arial" w:eastAsia="Arial" w:hAnsi="Arial" w:cs="Arial"/>
          <w:sz w:val="20"/>
          <w:szCs w:val="20"/>
        </w:rPr>
        <w:t>two</w:t>
      </w:r>
      <w:r w:rsidRPr="005C203E">
        <w:rPr>
          <w:rFonts w:ascii="Arial" w:eastAsia="Arial" w:hAnsi="Arial" w:cs="Arial"/>
          <w:sz w:val="20"/>
          <w:szCs w:val="20"/>
        </w:rPr>
        <w:t>-step source testing and other requirements set forth in Section II.E(2) and IX.H</w:t>
      </w:r>
      <w:r w:rsidR="00813800" w:rsidRPr="005C203E">
        <w:rPr>
          <w:rFonts w:ascii="Arial" w:eastAsia="Arial" w:hAnsi="Arial" w:cs="Arial"/>
          <w:sz w:val="20"/>
          <w:szCs w:val="20"/>
        </w:rPr>
        <w:t xml:space="preserve">. </w:t>
      </w:r>
      <w:r w:rsidR="007D2DE3" w:rsidRPr="005C203E">
        <w:rPr>
          <w:rFonts w:ascii="Arial" w:eastAsia="Arial" w:hAnsi="Arial" w:cs="Arial"/>
          <w:sz w:val="20"/>
          <w:szCs w:val="20"/>
        </w:rPr>
        <w:t>Reporting for Sector Phase 3B begins with 2028 data even if other permitted processes in Sector Phases 1, 2, or 3 are present at the facility.</w:t>
      </w:r>
      <w:r w:rsidR="003807E7" w:rsidRPr="005C1F30">
        <w:rPr>
          <w:rFonts w:ascii="Arial" w:eastAsia="Arial" w:hAnsi="Arial" w:cs="Arial"/>
          <w:b/>
          <w:sz w:val="24"/>
        </w:rPr>
        <w:br w:type="page"/>
      </w:r>
    </w:p>
    <w:p w14:paraId="6CD386F6" w14:textId="67755652" w:rsidR="00625A4D" w:rsidRPr="005C203E" w:rsidRDefault="00625A4D" w:rsidP="005C203E">
      <w:pPr>
        <w:spacing w:after="120" w:line="240" w:lineRule="auto"/>
        <w:jc w:val="center"/>
        <w:outlineLvl w:val="2"/>
        <w:rPr>
          <w:rFonts w:ascii="Arial" w:eastAsia="Arial" w:hAnsi="Arial" w:cs="Arial"/>
          <w:b/>
          <w:sz w:val="24"/>
        </w:rPr>
      </w:pPr>
      <w:r w:rsidRPr="005C203E">
        <w:rPr>
          <w:rFonts w:ascii="Arial" w:eastAsia="Arial" w:hAnsi="Arial" w:cs="Arial"/>
          <w:b/>
          <w:sz w:val="24"/>
        </w:rPr>
        <w:lastRenderedPageBreak/>
        <w:t xml:space="preserve">Table </w:t>
      </w:r>
      <w:r w:rsidR="00981DB4" w:rsidRPr="005C203E">
        <w:rPr>
          <w:rFonts w:ascii="Arial" w:eastAsia="Arial" w:hAnsi="Arial" w:cs="Arial"/>
          <w:b/>
          <w:sz w:val="24"/>
        </w:rPr>
        <w:t>E-</w:t>
      </w:r>
      <w:r w:rsidR="002101D9" w:rsidRPr="005C203E">
        <w:rPr>
          <w:rFonts w:ascii="Arial" w:eastAsia="Arial" w:hAnsi="Arial" w:cs="Arial"/>
          <w:b/>
          <w:sz w:val="24"/>
        </w:rPr>
        <w:t>2</w:t>
      </w:r>
      <w:r w:rsidRPr="005C203E">
        <w:rPr>
          <w:rFonts w:ascii="Arial" w:eastAsia="Arial" w:hAnsi="Arial" w:cs="Arial"/>
          <w:b/>
          <w:sz w:val="24"/>
        </w:rPr>
        <w:t xml:space="preserve">. </w:t>
      </w:r>
      <w:r w:rsidRPr="005C203E">
        <w:rPr>
          <w:rFonts w:ascii="Arial" w:eastAsia="Arial" w:hAnsi="Arial" w:cs="Arial"/>
          <w:b/>
          <w:sz w:val="24"/>
        </w:rPr>
        <w:br/>
        <w:t>District Group for Appendix E Phase-in Schedule</w:t>
      </w:r>
    </w:p>
    <w:tbl>
      <w:tblPr>
        <w:tblStyle w:val="TableGrid1"/>
        <w:tblW w:w="5000" w:type="pct"/>
        <w:tblInd w:w="-15" w:type="dxa"/>
        <w:tblLook w:val="04A0" w:firstRow="1" w:lastRow="0" w:firstColumn="1" w:lastColumn="0" w:noHBand="0" w:noVBand="1"/>
      </w:tblPr>
      <w:tblGrid>
        <w:gridCol w:w="2340"/>
        <w:gridCol w:w="3495"/>
        <w:gridCol w:w="3495"/>
      </w:tblGrid>
      <w:tr w:rsidR="00625A4D" w:rsidRPr="005C203E" w14:paraId="7C54C872" w14:textId="77777777" w:rsidTr="00EC1F59">
        <w:tc>
          <w:tcPr>
            <w:tcW w:w="2340" w:type="dxa"/>
            <w:tcBorders>
              <w:top w:val="single" w:sz="12" w:space="0" w:color="auto"/>
              <w:left w:val="single" w:sz="12" w:space="0" w:color="auto"/>
              <w:bottom w:val="single" w:sz="12" w:space="0" w:color="auto"/>
            </w:tcBorders>
            <w:vAlign w:val="center"/>
          </w:tcPr>
          <w:p w14:paraId="09ED8907"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r w:rsidRPr="005C203E">
              <w:rPr>
                <w:rFonts w:ascii="Arial" w:eastAsia="Arial" w:hAnsi="Arial" w:cs="Arial"/>
                <w:b/>
                <w:szCs w:val="24"/>
              </w:rPr>
              <w:t>District Group</w:t>
            </w:r>
          </w:p>
        </w:tc>
        <w:tc>
          <w:tcPr>
            <w:tcW w:w="3495" w:type="dxa"/>
            <w:tcBorders>
              <w:top w:val="single" w:sz="12" w:space="0" w:color="auto"/>
              <w:bottom w:val="single" w:sz="12" w:space="0" w:color="auto"/>
              <w:right w:val="nil"/>
            </w:tcBorders>
            <w:vAlign w:val="center"/>
          </w:tcPr>
          <w:p w14:paraId="78AE762E" w14:textId="77777777" w:rsidR="00625A4D" w:rsidRPr="005C203E" w:rsidRDefault="00625A4D" w:rsidP="00625A4D">
            <w:pPr>
              <w:widowControl w:val="0"/>
              <w:autoSpaceDE w:val="0"/>
              <w:autoSpaceDN w:val="0"/>
              <w:spacing w:before="60" w:after="60"/>
              <w:rPr>
                <w:rFonts w:ascii="Arial" w:eastAsia="Arial" w:hAnsi="Arial" w:cs="Arial"/>
                <w:b/>
                <w:szCs w:val="24"/>
              </w:rPr>
            </w:pPr>
            <w:r w:rsidRPr="005C203E">
              <w:rPr>
                <w:rFonts w:ascii="Arial" w:eastAsia="Arial" w:hAnsi="Arial" w:cs="Arial"/>
                <w:b/>
                <w:szCs w:val="24"/>
              </w:rPr>
              <w:t>District</w:t>
            </w:r>
          </w:p>
        </w:tc>
        <w:tc>
          <w:tcPr>
            <w:tcW w:w="3495" w:type="dxa"/>
            <w:tcBorders>
              <w:top w:val="single" w:sz="12" w:space="0" w:color="auto"/>
              <w:left w:val="nil"/>
              <w:bottom w:val="single" w:sz="12" w:space="0" w:color="auto"/>
              <w:right w:val="single" w:sz="12" w:space="0" w:color="auto"/>
            </w:tcBorders>
            <w:vAlign w:val="center"/>
          </w:tcPr>
          <w:p w14:paraId="57F8BC18" w14:textId="77777777" w:rsidR="00625A4D" w:rsidRPr="005C203E" w:rsidRDefault="00625A4D" w:rsidP="00625A4D">
            <w:pPr>
              <w:widowControl w:val="0"/>
              <w:autoSpaceDE w:val="0"/>
              <w:autoSpaceDN w:val="0"/>
              <w:spacing w:before="60" w:after="60"/>
              <w:jc w:val="center"/>
              <w:rPr>
                <w:rFonts w:ascii="Arial" w:eastAsia="Arial" w:hAnsi="Arial" w:cs="Arial"/>
                <w:szCs w:val="24"/>
              </w:rPr>
            </w:pPr>
          </w:p>
        </w:tc>
      </w:tr>
      <w:tr w:rsidR="00625A4D" w:rsidRPr="005C203E" w14:paraId="030B4AF0" w14:textId="77777777" w:rsidTr="00EC1F59">
        <w:tc>
          <w:tcPr>
            <w:tcW w:w="2340" w:type="dxa"/>
            <w:vMerge w:val="restart"/>
            <w:tcBorders>
              <w:top w:val="single" w:sz="12" w:space="0" w:color="auto"/>
              <w:left w:val="single" w:sz="12" w:space="0" w:color="auto"/>
            </w:tcBorders>
          </w:tcPr>
          <w:p w14:paraId="5B9AB48C"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r w:rsidRPr="005C203E">
              <w:rPr>
                <w:rFonts w:ascii="Arial" w:eastAsia="Arial" w:hAnsi="Arial" w:cs="Arial"/>
                <w:b/>
                <w:szCs w:val="24"/>
              </w:rPr>
              <w:t>A</w:t>
            </w:r>
          </w:p>
        </w:tc>
        <w:tc>
          <w:tcPr>
            <w:tcW w:w="3495" w:type="dxa"/>
            <w:tcBorders>
              <w:top w:val="single" w:sz="12" w:space="0" w:color="auto"/>
              <w:bottom w:val="nil"/>
              <w:right w:val="nil"/>
            </w:tcBorders>
            <w:vAlign w:val="center"/>
          </w:tcPr>
          <w:p w14:paraId="590D57DE"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Bay Area AQMD</w:t>
            </w:r>
          </w:p>
        </w:tc>
        <w:tc>
          <w:tcPr>
            <w:tcW w:w="3495" w:type="dxa"/>
            <w:tcBorders>
              <w:top w:val="single" w:sz="12" w:space="0" w:color="auto"/>
              <w:left w:val="nil"/>
              <w:bottom w:val="nil"/>
              <w:right w:val="single" w:sz="12" w:space="0" w:color="auto"/>
            </w:tcBorders>
            <w:vAlign w:val="center"/>
          </w:tcPr>
          <w:p w14:paraId="6FF0C6E6"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San Diego County APCD</w:t>
            </w:r>
          </w:p>
        </w:tc>
      </w:tr>
      <w:tr w:rsidR="00625A4D" w:rsidRPr="005C203E" w14:paraId="3DA50A7B" w14:textId="77777777" w:rsidTr="00EC1F59">
        <w:tc>
          <w:tcPr>
            <w:tcW w:w="2340" w:type="dxa"/>
            <w:vMerge/>
            <w:tcBorders>
              <w:left w:val="single" w:sz="12" w:space="0" w:color="auto"/>
            </w:tcBorders>
            <w:vAlign w:val="center"/>
          </w:tcPr>
          <w:p w14:paraId="63468385"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p>
        </w:tc>
        <w:tc>
          <w:tcPr>
            <w:tcW w:w="3495" w:type="dxa"/>
            <w:tcBorders>
              <w:top w:val="nil"/>
              <w:bottom w:val="nil"/>
              <w:right w:val="nil"/>
            </w:tcBorders>
            <w:vAlign w:val="center"/>
          </w:tcPr>
          <w:p w14:paraId="23307736"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Imperial County APCD</w:t>
            </w:r>
          </w:p>
        </w:tc>
        <w:tc>
          <w:tcPr>
            <w:tcW w:w="3495" w:type="dxa"/>
            <w:tcBorders>
              <w:top w:val="nil"/>
              <w:left w:val="nil"/>
              <w:bottom w:val="nil"/>
              <w:right w:val="single" w:sz="12" w:space="0" w:color="auto"/>
            </w:tcBorders>
            <w:vAlign w:val="center"/>
          </w:tcPr>
          <w:p w14:paraId="155A20B2"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San Joaquin Valley Unified APCD</w:t>
            </w:r>
          </w:p>
        </w:tc>
      </w:tr>
      <w:tr w:rsidR="00625A4D" w:rsidRPr="005C203E" w14:paraId="604EE0E1" w14:textId="77777777" w:rsidTr="00EC1F59">
        <w:tc>
          <w:tcPr>
            <w:tcW w:w="2340" w:type="dxa"/>
            <w:vMerge/>
            <w:tcBorders>
              <w:left w:val="single" w:sz="12" w:space="0" w:color="auto"/>
            </w:tcBorders>
            <w:vAlign w:val="center"/>
          </w:tcPr>
          <w:p w14:paraId="7F8FE4E6"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p>
        </w:tc>
        <w:tc>
          <w:tcPr>
            <w:tcW w:w="3495" w:type="dxa"/>
            <w:tcBorders>
              <w:top w:val="nil"/>
              <w:bottom w:val="nil"/>
              <w:right w:val="nil"/>
            </w:tcBorders>
            <w:vAlign w:val="center"/>
          </w:tcPr>
          <w:p w14:paraId="4E4D520D"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Sacramento Metropolitan AQMD</w:t>
            </w:r>
          </w:p>
        </w:tc>
        <w:tc>
          <w:tcPr>
            <w:tcW w:w="3495" w:type="dxa"/>
            <w:tcBorders>
              <w:top w:val="nil"/>
              <w:left w:val="nil"/>
              <w:bottom w:val="nil"/>
              <w:right w:val="single" w:sz="12" w:space="0" w:color="auto"/>
            </w:tcBorders>
            <w:vAlign w:val="center"/>
          </w:tcPr>
          <w:p w14:paraId="0751985D"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South Coast AQMD</w:t>
            </w:r>
          </w:p>
        </w:tc>
      </w:tr>
      <w:tr w:rsidR="00625A4D" w:rsidRPr="005C203E" w14:paraId="2FE1C004" w14:textId="77777777" w:rsidTr="00EC1F59">
        <w:tc>
          <w:tcPr>
            <w:tcW w:w="2340" w:type="dxa"/>
            <w:vMerge w:val="restart"/>
            <w:tcBorders>
              <w:left w:val="single" w:sz="12" w:space="0" w:color="auto"/>
            </w:tcBorders>
          </w:tcPr>
          <w:p w14:paraId="4D160150"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r w:rsidRPr="005C203E">
              <w:rPr>
                <w:rFonts w:ascii="Arial" w:eastAsia="Arial" w:hAnsi="Arial" w:cs="Arial"/>
                <w:b/>
                <w:szCs w:val="24"/>
              </w:rPr>
              <w:t>B</w:t>
            </w:r>
          </w:p>
          <w:p w14:paraId="603D3147" w14:textId="77777777" w:rsidR="00625A4D" w:rsidRPr="005C203E" w:rsidRDefault="00625A4D" w:rsidP="00625A4D">
            <w:pPr>
              <w:widowControl w:val="0"/>
              <w:autoSpaceDE w:val="0"/>
              <w:autoSpaceDN w:val="0"/>
              <w:spacing w:before="60" w:after="60"/>
              <w:ind w:right="-15"/>
              <w:jc w:val="center"/>
              <w:rPr>
                <w:rFonts w:ascii="Arial" w:eastAsia="Arial" w:hAnsi="Arial" w:cs="Arial"/>
                <w:b/>
                <w:szCs w:val="24"/>
              </w:rPr>
            </w:pPr>
          </w:p>
        </w:tc>
        <w:tc>
          <w:tcPr>
            <w:tcW w:w="3495" w:type="dxa"/>
            <w:tcBorders>
              <w:bottom w:val="nil"/>
              <w:right w:val="nil"/>
            </w:tcBorders>
          </w:tcPr>
          <w:p w14:paraId="26985B1E"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Amador County APCD</w:t>
            </w:r>
          </w:p>
        </w:tc>
        <w:tc>
          <w:tcPr>
            <w:tcW w:w="3495" w:type="dxa"/>
            <w:tcBorders>
              <w:left w:val="nil"/>
              <w:bottom w:val="nil"/>
              <w:right w:val="single" w:sz="12" w:space="0" w:color="auto"/>
            </w:tcBorders>
          </w:tcPr>
          <w:p w14:paraId="3DEC5E12"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Mojave Desert AQMD</w:t>
            </w:r>
          </w:p>
        </w:tc>
      </w:tr>
      <w:tr w:rsidR="00625A4D" w:rsidRPr="005C203E" w14:paraId="51552B20" w14:textId="77777777" w:rsidTr="00EC1F59">
        <w:tc>
          <w:tcPr>
            <w:tcW w:w="2340" w:type="dxa"/>
            <w:vMerge/>
            <w:tcBorders>
              <w:left w:val="single" w:sz="12" w:space="0" w:color="auto"/>
            </w:tcBorders>
            <w:vAlign w:val="center"/>
          </w:tcPr>
          <w:p w14:paraId="02902D60" w14:textId="77777777" w:rsidR="00625A4D" w:rsidRPr="005C203E" w:rsidRDefault="00625A4D" w:rsidP="00625A4D">
            <w:pPr>
              <w:widowControl w:val="0"/>
              <w:autoSpaceDE w:val="0"/>
              <w:autoSpaceDN w:val="0"/>
              <w:spacing w:before="60" w:after="60"/>
              <w:ind w:right="403"/>
              <w:rPr>
                <w:rFonts w:ascii="Arial" w:eastAsia="Arial" w:hAnsi="Arial" w:cs="Arial"/>
                <w:szCs w:val="24"/>
              </w:rPr>
            </w:pPr>
          </w:p>
        </w:tc>
        <w:tc>
          <w:tcPr>
            <w:tcW w:w="3495" w:type="dxa"/>
            <w:tcBorders>
              <w:top w:val="nil"/>
              <w:bottom w:val="nil"/>
              <w:right w:val="nil"/>
            </w:tcBorders>
          </w:tcPr>
          <w:p w14:paraId="70298022"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Antelope Valley APCD</w:t>
            </w:r>
          </w:p>
        </w:tc>
        <w:tc>
          <w:tcPr>
            <w:tcW w:w="3495" w:type="dxa"/>
            <w:tcBorders>
              <w:top w:val="nil"/>
              <w:left w:val="nil"/>
              <w:bottom w:val="nil"/>
              <w:right w:val="single" w:sz="12" w:space="0" w:color="auto"/>
            </w:tcBorders>
          </w:tcPr>
          <w:p w14:paraId="03258468"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Monterey Bay Air Resources District</w:t>
            </w:r>
          </w:p>
        </w:tc>
      </w:tr>
      <w:tr w:rsidR="00625A4D" w:rsidRPr="005C203E" w14:paraId="463644B8" w14:textId="77777777" w:rsidTr="00EC1F59">
        <w:tc>
          <w:tcPr>
            <w:tcW w:w="2340" w:type="dxa"/>
            <w:vMerge/>
            <w:tcBorders>
              <w:left w:val="single" w:sz="12" w:space="0" w:color="auto"/>
            </w:tcBorders>
            <w:vAlign w:val="center"/>
          </w:tcPr>
          <w:p w14:paraId="4B643DF2" w14:textId="77777777" w:rsidR="00625A4D" w:rsidRPr="005C203E" w:rsidRDefault="00625A4D" w:rsidP="00625A4D">
            <w:pPr>
              <w:widowControl w:val="0"/>
              <w:autoSpaceDE w:val="0"/>
              <w:autoSpaceDN w:val="0"/>
              <w:spacing w:before="60" w:after="60"/>
              <w:ind w:right="403"/>
              <w:rPr>
                <w:rFonts w:ascii="Arial" w:eastAsia="Arial" w:hAnsi="Arial" w:cs="Arial"/>
                <w:szCs w:val="24"/>
              </w:rPr>
            </w:pPr>
          </w:p>
        </w:tc>
        <w:tc>
          <w:tcPr>
            <w:tcW w:w="3495" w:type="dxa"/>
            <w:tcBorders>
              <w:top w:val="nil"/>
              <w:bottom w:val="nil"/>
              <w:right w:val="nil"/>
            </w:tcBorders>
          </w:tcPr>
          <w:p w14:paraId="5FA95D28"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Butte County AQMD</w:t>
            </w:r>
          </w:p>
        </w:tc>
        <w:tc>
          <w:tcPr>
            <w:tcW w:w="3495" w:type="dxa"/>
            <w:tcBorders>
              <w:top w:val="nil"/>
              <w:left w:val="nil"/>
              <w:bottom w:val="nil"/>
              <w:right w:val="single" w:sz="12" w:space="0" w:color="auto"/>
            </w:tcBorders>
          </w:tcPr>
          <w:p w14:paraId="7F67A51D"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North Coast Unified APCD</w:t>
            </w:r>
          </w:p>
        </w:tc>
      </w:tr>
      <w:tr w:rsidR="00625A4D" w:rsidRPr="005C203E" w14:paraId="5C592F46" w14:textId="77777777" w:rsidTr="00EC1F59">
        <w:tc>
          <w:tcPr>
            <w:tcW w:w="2340" w:type="dxa"/>
            <w:vMerge/>
            <w:tcBorders>
              <w:left w:val="single" w:sz="12" w:space="0" w:color="auto"/>
            </w:tcBorders>
            <w:vAlign w:val="center"/>
          </w:tcPr>
          <w:p w14:paraId="2AF71200" w14:textId="77777777" w:rsidR="00625A4D" w:rsidRPr="005C203E" w:rsidRDefault="00625A4D" w:rsidP="00625A4D">
            <w:pPr>
              <w:widowControl w:val="0"/>
              <w:autoSpaceDE w:val="0"/>
              <w:autoSpaceDN w:val="0"/>
              <w:spacing w:before="60" w:after="60"/>
              <w:ind w:right="403"/>
              <w:rPr>
                <w:rFonts w:ascii="Arial" w:eastAsia="Arial" w:hAnsi="Arial" w:cs="Arial"/>
                <w:szCs w:val="24"/>
              </w:rPr>
            </w:pPr>
          </w:p>
        </w:tc>
        <w:tc>
          <w:tcPr>
            <w:tcW w:w="3495" w:type="dxa"/>
            <w:tcBorders>
              <w:top w:val="nil"/>
              <w:bottom w:val="nil"/>
              <w:right w:val="nil"/>
            </w:tcBorders>
          </w:tcPr>
          <w:p w14:paraId="637A4498"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Calaveras County APCD</w:t>
            </w:r>
          </w:p>
        </w:tc>
        <w:tc>
          <w:tcPr>
            <w:tcW w:w="3495" w:type="dxa"/>
            <w:tcBorders>
              <w:top w:val="nil"/>
              <w:left w:val="nil"/>
              <w:bottom w:val="nil"/>
              <w:right w:val="single" w:sz="12" w:space="0" w:color="auto"/>
            </w:tcBorders>
          </w:tcPr>
          <w:p w14:paraId="64A656B4" w14:textId="77777777" w:rsidR="00625A4D" w:rsidRPr="005C203E" w:rsidRDefault="00625A4D" w:rsidP="00625A4D">
            <w:pPr>
              <w:widowControl w:val="0"/>
              <w:autoSpaceDE w:val="0"/>
              <w:autoSpaceDN w:val="0"/>
              <w:spacing w:before="60" w:after="60"/>
              <w:rPr>
                <w:rFonts w:ascii="Arial" w:eastAsia="Arial" w:hAnsi="Arial" w:cs="Arial"/>
                <w:szCs w:val="24"/>
              </w:rPr>
            </w:pPr>
            <w:r w:rsidRPr="005C203E">
              <w:rPr>
                <w:rFonts w:ascii="Arial" w:eastAsia="Arial" w:hAnsi="Arial" w:cs="Arial"/>
              </w:rPr>
              <w:t>Northern Sierra AQMD</w:t>
            </w:r>
          </w:p>
        </w:tc>
      </w:tr>
      <w:tr w:rsidR="00625A4D" w:rsidRPr="005C203E" w14:paraId="09CB77D6" w14:textId="77777777" w:rsidTr="00EC1F59">
        <w:tc>
          <w:tcPr>
            <w:tcW w:w="2340" w:type="dxa"/>
            <w:vMerge/>
            <w:tcBorders>
              <w:left w:val="single" w:sz="12" w:space="0" w:color="auto"/>
            </w:tcBorders>
          </w:tcPr>
          <w:p w14:paraId="6477823E"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57CC815A"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Colusa County APCD</w:t>
            </w:r>
          </w:p>
        </w:tc>
        <w:tc>
          <w:tcPr>
            <w:tcW w:w="3495" w:type="dxa"/>
            <w:tcBorders>
              <w:top w:val="nil"/>
              <w:left w:val="nil"/>
              <w:bottom w:val="nil"/>
              <w:right w:val="single" w:sz="12" w:space="0" w:color="auto"/>
            </w:tcBorders>
          </w:tcPr>
          <w:p w14:paraId="5B8B4B0F"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Northern Sonoma County APCD</w:t>
            </w:r>
          </w:p>
        </w:tc>
      </w:tr>
      <w:tr w:rsidR="00625A4D" w:rsidRPr="005C203E" w14:paraId="749F5775" w14:textId="77777777" w:rsidTr="00EC1F59">
        <w:tc>
          <w:tcPr>
            <w:tcW w:w="2340" w:type="dxa"/>
            <w:vMerge/>
            <w:tcBorders>
              <w:left w:val="single" w:sz="12" w:space="0" w:color="auto"/>
            </w:tcBorders>
            <w:vAlign w:val="center"/>
          </w:tcPr>
          <w:p w14:paraId="5DC10A1B"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51ADA4F2"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Eastern Kern County APCD</w:t>
            </w:r>
          </w:p>
        </w:tc>
        <w:tc>
          <w:tcPr>
            <w:tcW w:w="3495" w:type="dxa"/>
            <w:tcBorders>
              <w:top w:val="nil"/>
              <w:left w:val="nil"/>
              <w:bottom w:val="nil"/>
              <w:right w:val="single" w:sz="12" w:space="0" w:color="auto"/>
            </w:tcBorders>
          </w:tcPr>
          <w:p w14:paraId="0D9DAA6A"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Placer County APCD</w:t>
            </w:r>
          </w:p>
        </w:tc>
      </w:tr>
      <w:tr w:rsidR="00625A4D" w:rsidRPr="005C203E" w14:paraId="50320DBD" w14:textId="77777777" w:rsidTr="00EC1F59">
        <w:tc>
          <w:tcPr>
            <w:tcW w:w="2340" w:type="dxa"/>
            <w:vMerge/>
            <w:tcBorders>
              <w:left w:val="single" w:sz="12" w:space="0" w:color="auto"/>
            </w:tcBorders>
            <w:vAlign w:val="center"/>
          </w:tcPr>
          <w:p w14:paraId="1FEB1120"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17FCC894"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El Dorado County APCD</w:t>
            </w:r>
          </w:p>
        </w:tc>
        <w:tc>
          <w:tcPr>
            <w:tcW w:w="3495" w:type="dxa"/>
            <w:tcBorders>
              <w:top w:val="nil"/>
              <w:left w:val="nil"/>
              <w:bottom w:val="nil"/>
              <w:right w:val="single" w:sz="12" w:space="0" w:color="auto"/>
            </w:tcBorders>
          </w:tcPr>
          <w:p w14:paraId="57A781F9"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San Luis Obispo County APCD</w:t>
            </w:r>
          </w:p>
        </w:tc>
      </w:tr>
      <w:tr w:rsidR="00625A4D" w:rsidRPr="005C203E" w14:paraId="23A4317B" w14:textId="77777777" w:rsidTr="00EC1F59">
        <w:tc>
          <w:tcPr>
            <w:tcW w:w="2340" w:type="dxa"/>
            <w:vMerge/>
            <w:tcBorders>
              <w:left w:val="single" w:sz="12" w:space="0" w:color="auto"/>
            </w:tcBorders>
            <w:vAlign w:val="center"/>
          </w:tcPr>
          <w:p w14:paraId="2B45F529"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35DAF625"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Feather River AQMD</w:t>
            </w:r>
          </w:p>
        </w:tc>
        <w:tc>
          <w:tcPr>
            <w:tcW w:w="3495" w:type="dxa"/>
            <w:tcBorders>
              <w:top w:val="nil"/>
              <w:left w:val="nil"/>
              <w:bottom w:val="nil"/>
              <w:right w:val="single" w:sz="12" w:space="0" w:color="auto"/>
            </w:tcBorders>
          </w:tcPr>
          <w:p w14:paraId="2C21B186"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Santa Barbara County APCD</w:t>
            </w:r>
          </w:p>
        </w:tc>
      </w:tr>
      <w:tr w:rsidR="00625A4D" w:rsidRPr="005C203E" w14:paraId="004D8DB6" w14:textId="77777777" w:rsidTr="00EC1F59">
        <w:tc>
          <w:tcPr>
            <w:tcW w:w="2340" w:type="dxa"/>
            <w:vMerge/>
            <w:tcBorders>
              <w:left w:val="single" w:sz="12" w:space="0" w:color="auto"/>
            </w:tcBorders>
            <w:vAlign w:val="center"/>
          </w:tcPr>
          <w:p w14:paraId="6D0B0051"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5A180BF3"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Glenn County APCD</w:t>
            </w:r>
          </w:p>
        </w:tc>
        <w:tc>
          <w:tcPr>
            <w:tcW w:w="3495" w:type="dxa"/>
            <w:tcBorders>
              <w:top w:val="nil"/>
              <w:left w:val="nil"/>
              <w:bottom w:val="nil"/>
              <w:right w:val="single" w:sz="12" w:space="0" w:color="auto"/>
            </w:tcBorders>
          </w:tcPr>
          <w:p w14:paraId="678F521A"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Shasta County AQMD</w:t>
            </w:r>
          </w:p>
        </w:tc>
      </w:tr>
      <w:tr w:rsidR="00625A4D" w:rsidRPr="005C203E" w14:paraId="40B74C3C" w14:textId="77777777" w:rsidTr="00EC1F59">
        <w:tc>
          <w:tcPr>
            <w:tcW w:w="2340" w:type="dxa"/>
            <w:vMerge/>
            <w:tcBorders>
              <w:left w:val="single" w:sz="12" w:space="0" w:color="auto"/>
            </w:tcBorders>
            <w:vAlign w:val="center"/>
          </w:tcPr>
          <w:p w14:paraId="3A421F90"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15C1A3BE"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Great Basin Unified APCD</w:t>
            </w:r>
          </w:p>
        </w:tc>
        <w:tc>
          <w:tcPr>
            <w:tcW w:w="3495" w:type="dxa"/>
            <w:tcBorders>
              <w:top w:val="nil"/>
              <w:left w:val="nil"/>
              <w:bottom w:val="nil"/>
              <w:right w:val="single" w:sz="12" w:space="0" w:color="auto"/>
            </w:tcBorders>
          </w:tcPr>
          <w:p w14:paraId="40B37C60"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Siskiyou County APCD</w:t>
            </w:r>
          </w:p>
        </w:tc>
      </w:tr>
      <w:tr w:rsidR="00625A4D" w:rsidRPr="005C203E" w14:paraId="061FD772" w14:textId="77777777" w:rsidTr="00EC1F59">
        <w:tc>
          <w:tcPr>
            <w:tcW w:w="2340" w:type="dxa"/>
            <w:vMerge/>
            <w:tcBorders>
              <w:left w:val="single" w:sz="12" w:space="0" w:color="auto"/>
            </w:tcBorders>
            <w:vAlign w:val="center"/>
          </w:tcPr>
          <w:p w14:paraId="52F48013"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08E2306C"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Lake County AQMD</w:t>
            </w:r>
          </w:p>
        </w:tc>
        <w:tc>
          <w:tcPr>
            <w:tcW w:w="3495" w:type="dxa"/>
            <w:tcBorders>
              <w:top w:val="nil"/>
              <w:left w:val="nil"/>
              <w:bottom w:val="nil"/>
              <w:right w:val="single" w:sz="12" w:space="0" w:color="auto"/>
            </w:tcBorders>
          </w:tcPr>
          <w:p w14:paraId="686858B4"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Tehama County APCD</w:t>
            </w:r>
          </w:p>
        </w:tc>
      </w:tr>
      <w:tr w:rsidR="00625A4D" w:rsidRPr="005C203E" w14:paraId="30571803" w14:textId="77777777" w:rsidTr="00EC1F59">
        <w:tc>
          <w:tcPr>
            <w:tcW w:w="2340" w:type="dxa"/>
            <w:vMerge/>
            <w:tcBorders>
              <w:left w:val="single" w:sz="12" w:space="0" w:color="auto"/>
            </w:tcBorders>
            <w:vAlign w:val="center"/>
          </w:tcPr>
          <w:p w14:paraId="0E98F307"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1CB01961"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Lassen County APCD</w:t>
            </w:r>
          </w:p>
        </w:tc>
        <w:tc>
          <w:tcPr>
            <w:tcW w:w="3495" w:type="dxa"/>
            <w:tcBorders>
              <w:top w:val="nil"/>
              <w:left w:val="nil"/>
              <w:bottom w:val="nil"/>
              <w:right w:val="single" w:sz="12" w:space="0" w:color="auto"/>
            </w:tcBorders>
          </w:tcPr>
          <w:p w14:paraId="2ACA5CCE"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Tuolumne County APCD</w:t>
            </w:r>
          </w:p>
        </w:tc>
      </w:tr>
      <w:tr w:rsidR="00625A4D" w:rsidRPr="005C203E" w14:paraId="6B2CAD93" w14:textId="77777777" w:rsidTr="00EC1F59">
        <w:tc>
          <w:tcPr>
            <w:tcW w:w="2340" w:type="dxa"/>
            <w:vMerge/>
            <w:tcBorders>
              <w:left w:val="single" w:sz="12" w:space="0" w:color="auto"/>
            </w:tcBorders>
            <w:vAlign w:val="center"/>
          </w:tcPr>
          <w:p w14:paraId="18410861"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11EB2A30"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Mariposa County APCD</w:t>
            </w:r>
          </w:p>
        </w:tc>
        <w:tc>
          <w:tcPr>
            <w:tcW w:w="3495" w:type="dxa"/>
            <w:tcBorders>
              <w:top w:val="nil"/>
              <w:left w:val="nil"/>
              <w:bottom w:val="nil"/>
              <w:right w:val="single" w:sz="12" w:space="0" w:color="auto"/>
            </w:tcBorders>
          </w:tcPr>
          <w:p w14:paraId="05BE28B7"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Ventura County APCD</w:t>
            </w:r>
          </w:p>
        </w:tc>
      </w:tr>
      <w:tr w:rsidR="00625A4D" w:rsidRPr="005C203E" w14:paraId="67E28348" w14:textId="77777777" w:rsidTr="00EC1F59">
        <w:tc>
          <w:tcPr>
            <w:tcW w:w="2340" w:type="dxa"/>
            <w:vMerge/>
            <w:tcBorders>
              <w:left w:val="single" w:sz="12" w:space="0" w:color="auto"/>
            </w:tcBorders>
            <w:vAlign w:val="center"/>
          </w:tcPr>
          <w:p w14:paraId="2C0BC9FA"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nil"/>
              <w:right w:val="nil"/>
            </w:tcBorders>
          </w:tcPr>
          <w:p w14:paraId="5B50531C"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Mendocino County AQMD</w:t>
            </w:r>
          </w:p>
        </w:tc>
        <w:tc>
          <w:tcPr>
            <w:tcW w:w="3495" w:type="dxa"/>
            <w:tcBorders>
              <w:top w:val="nil"/>
              <w:left w:val="nil"/>
              <w:bottom w:val="nil"/>
              <w:right w:val="single" w:sz="12" w:space="0" w:color="auto"/>
            </w:tcBorders>
          </w:tcPr>
          <w:p w14:paraId="33914A77"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Yolo/Solano AQMD</w:t>
            </w:r>
          </w:p>
        </w:tc>
      </w:tr>
      <w:tr w:rsidR="00625A4D" w:rsidRPr="005C203E" w14:paraId="30531072" w14:textId="77777777" w:rsidTr="00EC1F59">
        <w:tc>
          <w:tcPr>
            <w:tcW w:w="2340" w:type="dxa"/>
            <w:vMerge/>
            <w:tcBorders>
              <w:left w:val="single" w:sz="12" w:space="0" w:color="auto"/>
              <w:bottom w:val="single" w:sz="12" w:space="0" w:color="auto"/>
            </w:tcBorders>
            <w:vAlign w:val="center"/>
          </w:tcPr>
          <w:p w14:paraId="77D34901" w14:textId="77777777" w:rsidR="00625A4D" w:rsidRPr="005C203E" w:rsidRDefault="00625A4D" w:rsidP="00625A4D">
            <w:pPr>
              <w:widowControl w:val="0"/>
              <w:autoSpaceDE w:val="0"/>
              <w:autoSpaceDN w:val="0"/>
              <w:spacing w:before="60" w:after="60"/>
              <w:ind w:right="403"/>
              <w:rPr>
                <w:rFonts w:ascii="Arial" w:eastAsia="Arial" w:hAnsi="Arial" w:cs="Arial"/>
                <w:b/>
                <w:szCs w:val="24"/>
              </w:rPr>
            </w:pPr>
          </w:p>
        </w:tc>
        <w:tc>
          <w:tcPr>
            <w:tcW w:w="3495" w:type="dxa"/>
            <w:tcBorders>
              <w:top w:val="nil"/>
              <w:bottom w:val="single" w:sz="12" w:space="0" w:color="auto"/>
              <w:right w:val="nil"/>
            </w:tcBorders>
          </w:tcPr>
          <w:p w14:paraId="7FA4A21F" w14:textId="77777777" w:rsidR="00625A4D" w:rsidRPr="005C203E" w:rsidRDefault="00625A4D" w:rsidP="00625A4D">
            <w:pPr>
              <w:widowControl w:val="0"/>
              <w:autoSpaceDE w:val="0"/>
              <w:autoSpaceDN w:val="0"/>
              <w:spacing w:before="60" w:after="60"/>
              <w:rPr>
                <w:rFonts w:ascii="Arial" w:eastAsia="Arial" w:hAnsi="Arial" w:cs="Arial"/>
              </w:rPr>
            </w:pPr>
            <w:r w:rsidRPr="005C203E">
              <w:rPr>
                <w:rFonts w:ascii="Arial" w:eastAsia="Arial" w:hAnsi="Arial" w:cs="Arial"/>
              </w:rPr>
              <w:t>Modoc County APCD</w:t>
            </w:r>
          </w:p>
        </w:tc>
        <w:tc>
          <w:tcPr>
            <w:tcW w:w="3495" w:type="dxa"/>
            <w:tcBorders>
              <w:top w:val="nil"/>
              <w:left w:val="nil"/>
              <w:bottom w:val="single" w:sz="12" w:space="0" w:color="auto"/>
              <w:right w:val="single" w:sz="12" w:space="0" w:color="auto"/>
            </w:tcBorders>
          </w:tcPr>
          <w:p w14:paraId="69EC7BB7" w14:textId="77777777" w:rsidR="00625A4D" w:rsidRPr="005C203E" w:rsidRDefault="00625A4D" w:rsidP="00625A4D">
            <w:pPr>
              <w:widowControl w:val="0"/>
              <w:autoSpaceDE w:val="0"/>
              <w:autoSpaceDN w:val="0"/>
              <w:spacing w:before="60" w:after="60"/>
              <w:rPr>
                <w:rFonts w:ascii="Arial" w:eastAsia="Arial" w:hAnsi="Arial" w:cs="Arial"/>
              </w:rPr>
            </w:pPr>
          </w:p>
        </w:tc>
      </w:tr>
    </w:tbl>
    <w:p w14:paraId="4AB592F5" w14:textId="034BD750" w:rsidR="00BE1599" w:rsidRPr="00B101ED" w:rsidRDefault="00BE1599" w:rsidP="00625A4D">
      <w:pPr>
        <w:tabs>
          <w:tab w:val="left" w:pos="0"/>
          <w:tab w:val="left" w:pos="720"/>
          <w:tab w:val="left" w:pos="1170"/>
          <w:tab w:val="left" w:pos="2880"/>
        </w:tabs>
        <w:suppressAutoHyphens/>
        <w:spacing w:after="0" w:line="240" w:lineRule="auto"/>
        <w:rPr>
          <w:rFonts w:ascii="Arial" w:eastAsia="Times New Roman" w:hAnsi="Arial" w:cs="Times New Roman"/>
          <w:sz w:val="24"/>
          <w:szCs w:val="20"/>
        </w:rPr>
        <w:sectPr w:rsidR="00BE1599" w:rsidRPr="00B101ED" w:rsidSect="008177CC">
          <w:footerReference w:type="default" r:id="rId13"/>
          <w:footerReference w:type="first" r:id="rId14"/>
          <w:pgSz w:w="12240" w:h="15840"/>
          <w:pgMar w:top="1440" w:right="1440" w:bottom="1440" w:left="1440" w:header="720" w:footer="720" w:gutter="0"/>
          <w:pgNumType w:start="1" w:chapSep="emDash"/>
          <w:cols w:space="720"/>
          <w:docGrid w:linePitch="360"/>
        </w:sectPr>
      </w:pPr>
    </w:p>
    <w:tbl>
      <w:tblPr>
        <w:tblStyle w:val="TableGrid"/>
        <w:tblW w:w="5000" w:type="pct"/>
        <w:tblLook w:val="04A0" w:firstRow="1" w:lastRow="0" w:firstColumn="1" w:lastColumn="0" w:noHBand="0" w:noVBand="1"/>
      </w:tblPr>
      <w:tblGrid>
        <w:gridCol w:w="781"/>
        <w:gridCol w:w="780"/>
        <w:gridCol w:w="4663"/>
        <w:gridCol w:w="1682"/>
        <w:gridCol w:w="1682"/>
        <w:gridCol w:w="3372"/>
      </w:tblGrid>
      <w:tr w:rsidR="00BE1599" w:rsidRPr="00BE1599" w14:paraId="07561BFE" w14:textId="77777777" w:rsidTr="00BE1599">
        <w:trPr>
          <w:cantSplit/>
          <w:trHeight w:val="288"/>
          <w:tblHeader/>
        </w:trPr>
        <w:tc>
          <w:tcPr>
            <w:tcW w:w="5000" w:type="pct"/>
            <w:gridSpan w:val="6"/>
            <w:tcBorders>
              <w:top w:val="nil"/>
              <w:left w:val="nil"/>
              <w:bottom w:val="single" w:sz="12" w:space="0" w:color="auto"/>
              <w:right w:val="nil"/>
            </w:tcBorders>
          </w:tcPr>
          <w:p w14:paraId="4897EC6E" w14:textId="4BC48410" w:rsidR="00BE1599" w:rsidRPr="00417CDE" w:rsidRDefault="00BE1599" w:rsidP="002101D9">
            <w:pPr>
              <w:keepNext/>
              <w:spacing w:after="120"/>
              <w:outlineLvl w:val="2"/>
              <w:rPr>
                <w:rFonts w:ascii="Arial" w:eastAsia="Arial" w:hAnsi="Arial" w:cs="Arial"/>
                <w:b/>
              </w:rPr>
            </w:pPr>
            <w:r w:rsidRPr="00417CDE">
              <w:rPr>
                <w:rFonts w:ascii="Arial" w:eastAsia="Arial" w:hAnsi="Arial" w:cs="Arial"/>
                <w:b/>
              </w:rPr>
              <w:lastRenderedPageBreak/>
              <w:t xml:space="preserve">Table </w:t>
            </w:r>
            <w:r w:rsidR="00981DB4" w:rsidRPr="00417CDE">
              <w:rPr>
                <w:rFonts w:ascii="Arial" w:eastAsia="Arial" w:hAnsi="Arial" w:cs="Arial"/>
                <w:b/>
              </w:rPr>
              <w:t>E-</w:t>
            </w:r>
            <w:r w:rsidR="002101D9" w:rsidRPr="00417CDE">
              <w:rPr>
                <w:rFonts w:ascii="Arial" w:eastAsia="Arial" w:hAnsi="Arial" w:cs="Arial"/>
                <w:b/>
              </w:rPr>
              <w:t>3</w:t>
            </w:r>
            <w:r w:rsidRPr="00417CDE">
              <w:rPr>
                <w:rFonts w:ascii="Arial" w:eastAsia="Arial" w:hAnsi="Arial" w:cs="Arial"/>
                <w:b/>
              </w:rPr>
              <w:t xml:space="preserve">. Sector Phases and Activity Level Reporting Thresholds for Facilities </w:t>
            </w:r>
            <w:r w:rsidR="00C13EB6" w:rsidRPr="00417CDE">
              <w:rPr>
                <w:rFonts w:ascii="Arial" w:eastAsia="Arial" w:hAnsi="Arial" w:cs="Arial"/>
                <w:b/>
              </w:rPr>
              <w:t>E</w:t>
            </w:r>
            <w:r w:rsidRPr="00417CDE">
              <w:rPr>
                <w:rFonts w:ascii="Arial" w:eastAsia="Arial" w:hAnsi="Arial" w:cs="Arial"/>
                <w:b/>
              </w:rPr>
              <w:t xml:space="preserve">mitting </w:t>
            </w:r>
            <w:r w:rsidR="00C13EB6" w:rsidRPr="00417CDE">
              <w:rPr>
                <w:rFonts w:ascii="Arial" w:eastAsia="Arial" w:hAnsi="Arial" w:cs="Arial"/>
                <w:b/>
              </w:rPr>
              <w:t>L</w:t>
            </w:r>
            <w:r w:rsidRPr="00417CDE">
              <w:rPr>
                <w:rFonts w:ascii="Arial" w:eastAsia="Arial" w:hAnsi="Arial" w:cs="Arial"/>
                <w:b/>
              </w:rPr>
              <w:t xml:space="preserve">ess </w:t>
            </w:r>
            <w:r w:rsidR="00C13EB6" w:rsidRPr="00417CDE">
              <w:rPr>
                <w:rFonts w:ascii="Arial" w:eastAsia="Arial" w:hAnsi="Arial" w:cs="Arial"/>
                <w:b/>
              </w:rPr>
              <w:t>T</w:t>
            </w:r>
            <w:r w:rsidRPr="00417CDE">
              <w:rPr>
                <w:rFonts w:ascii="Arial" w:eastAsia="Arial" w:hAnsi="Arial" w:cs="Arial"/>
                <w:b/>
              </w:rPr>
              <w:t xml:space="preserve">han </w:t>
            </w:r>
            <w:r w:rsidR="00C13EB6" w:rsidRPr="00417CDE">
              <w:rPr>
                <w:rFonts w:ascii="Arial" w:eastAsia="Arial" w:hAnsi="Arial" w:cs="Arial"/>
                <w:b/>
              </w:rPr>
              <w:t>10</w:t>
            </w:r>
            <w:r w:rsidRPr="00417CDE">
              <w:rPr>
                <w:rFonts w:ascii="Arial" w:eastAsia="Arial" w:hAnsi="Arial" w:cs="Arial"/>
                <w:b/>
              </w:rPr>
              <w:t xml:space="preserve"> </w:t>
            </w:r>
            <w:r w:rsidR="00C13EB6" w:rsidRPr="00417CDE">
              <w:rPr>
                <w:rFonts w:ascii="Arial" w:eastAsia="Arial" w:hAnsi="Arial" w:cs="Arial"/>
                <w:b/>
              </w:rPr>
              <w:t>T</w:t>
            </w:r>
            <w:r w:rsidRPr="00417CDE">
              <w:rPr>
                <w:rFonts w:ascii="Arial" w:eastAsia="Arial" w:hAnsi="Arial" w:cs="Arial"/>
                <w:b/>
              </w:rPr>
              <w:t xml:space="preserve">ons of </w:t>
            </w:r>
            <w:r w:rsidR="00C13EB6" w:rsidRPr="00417CDE">
              <w:rPr>
                <w:rFonts w:ascii="Arial" w:eastAsia="Arial" w:hAnsi="Arial" w:cs="Arial"/>
                <w:b/>
              </w:rPr>
              <w:t>C</w:t>
            </w:r>
            <w:r w:rsidRPr="00417CDE">
              <w:rPr>
                <w:rFonts w:ascii="Arial" w:eastAsia="Arial" w:hAnsi="Arial" w:cs="Arial"/>
                <w:b/>
              </w:rPr>
              <w:t xml:space="preserve">riteria </w:t>
            </w:r>
            <w:r w:rsidR="00C13EB6" w:rsidRPr="00417CDE">
              <w:rPr>
                <w:rFonts w:ascii="Arial" w:eastAsia="Arial" w:hAnsi="Arial" w:cs="Arial"/>
                <w:b/>
              </w:rPr>
              <w:t>P</w:t>
            </w:r>
            <w:r w:rsidRPr="00417CDE">
              <w:rPr>
                <w:rFonts w:ascii="Arial" w:eastAsia="Arial" w:hAnsi="Arial" w:cs="Arial"/>
                <w:b/>
              </w:rPr>
              <w:t>ollutants</w:t>
            </w:r>
          </w:p>
        </w:tc>
      </w:tr>
      <w:tr w:rsidR="00BE1599" w:rsidRPr="00BE1599" w14:paraId="5DC2C032" w14:textId="77777777" w:rsidTr="00BE1599">
        <w:trPr>
          <w:cantSplit/>
          <w:trHeight w:val="432"/>
          <w:tblHeader/>
        </w:trPr>
        <w:tc>
          <w:tcPr>
            <w:tcW w:w="301" w:type="pct"/>
            <w:tcBorders>
              <w:top w:val="single" w:sz="12" w:space="0" w:color="auto"/>
              <w:left w:val="single" w:sz="12" w:space="0" w:color="auto"/>
              <w:bottom w:val="single" w:sz="12" w:space="0" w:color="auto"/>
              <w:right w:val="single" w:sz="4" w:space="0" w:color="auto"/>
            </w:tcBorders>
            <w:vAlign w:val="center"/>
          </w:tcPr>
          <w:p w14:paraId="0D7CA58F" w14:textId="77777777" w:rsidR="00BE1599" w:rsidRPr="005C203E" w:rsidRDefault="00BE1599" w:rsidP="00BE1599">
            <w:pPr>
              <w:spacing w:before="40" w:after="40"/>
              <w:jc w:val="center"/>
              <w:rPr>
                <w:rFonts w:ascii="Arial" w:eastAsia="Arial" w:hAnsi="Arial" w:cs="Arial"/>
                <w:b/>
                <w:sz w:val="18"/>
              </w:rPr>
            </w:pPr>
            <w:r w:rsidRPr="005C203E">
              <w:rPr>
                <w:rFonts w:ascii="Arial" w:eastAsia="Arial" w:hAnsi="Arial" w:cs="Arial"/>
                <w:b/>
                <w:sz w:val="18"/>
              </w:rPr>
              <w:t>Sector No.</w:t>
            </w:r>
          </w:p>
        </w:tc>
        <w:tc>
          <w:tcPr>
            <w:tcW w:w="301" w:type="pct"/>
            <w:tcBorders>
              <w:top w:val="single" w:sz="12" w:space="0" w:color="auto"/>
              <w:left w:val="single" w:sz="4" w:space="0" w:color="auto"/>
              <w:bottom w:val="single" w:sz="12" w:space="0" w:color="auto"/>
            </w:tcBorders>
            <w:vAlign w:val="center"/>
          </w:tcPr>
          <w:p w14:paraId="01E820F7" w14:textId="77777777" w:rsidR="00BE1599" w:rsidRPr="005C203E" w:rsidRDefault="00BE1599" w:rsidP="00BE1599">
            <w:pPr>
              <w:spacing w:before="40" w:after="40"/>
              <w:jc w:val="center"/>
              <w:rPr>
                <w:rFonts w:ascii="Arial" w:eastAsia="Arial" w:hAnsi="Arial" w:cs="Arial"/>
                <w:b/>
                <w:sz w:val="18"/>
              </w:rPr>
            </w:pPr>
            <w:r w:rsidRPr="005C203E">
              <w:rPr>
                <w:rFonts w:ascii="Arial" w:eastAsia="Arial" w:hAnsi="Arial" w:cs="Arial"/>
                <w:b/>
                <w:sz w:val="18"/>
              </w:rPr>
              <w:t>Sector Phase</w:t>
            </w:r>
          </w:p>
        </w:tc>
        <w:tc>
          <w:tcPr>
            <w:tcW w:w="1799" w:type="pct"/>
            <w:tcBorders>
              <w:top w:val="single" w:sz="12" w:space="0" w:color="auto"/>
              <w:bottom w:val="single" w:sz="12" w:space="0" w:color="auto"/>
            </w:tcBorders>
            <w:vAlign w:val="center"/>
          </w:tcPr>
          <w:p w14:paraId="4145582E" w14:textId="77777777" w:rsidR="00BE1599" w:rsidRPr="005C203E" w:rsidRDefault="00BE1599" w:rsidP="00BE1599">
            <w:pPr>
              <w:spacing w:before="40" w:after="40"/>
              <w:rPr>
                <w:rFonts w:ascii="Arial" w:eastAsia="Arial" w:hAnsi="Arial" w:cs="Arial"/>
                <w:b/>
                <w:sz w:val="18"/>
              </w:rPr>
            </w:pPr>
            <w:r w:rsidRPr="005C203E">
              <w:rPr>
                <w:rFonts w:ascii="Arial" w:eastAsia="Arial" w:hAnsi="Arial" w:cs="Arial"/>
                <w:b/>
                <w:sz w:val="18"/>
              </w:rPr>
              <w:t>Process or activity</w:t>
            </w:r>
          </w:p>
        </w:tc>
        <w:tc>
          <w:tcPr>
            <w:tcW w:w="649" w:type="pct"/>
            <w:tcBorders>
              <w:top w:val="single" w:sz="12" w:space="0" w:color="auto"/>
              <w:bottom w:val="single" w:sz="12" w:space="0" w:color="auto"/>
            </w:tcBorders>
            <w:vAlign w:val="center"/>
          </w:tcPr>
          <w:p w14:paraId="1C54BC40" w14:textId="77777777" w:rsidR="00BE1599" w:rsidRPr="005C203E" w:rsidRDefault="00BE1599" w:rsidP="00BE1599">
            <w:pPr>
              <w:spacing w:before="40" w:after="40"/>
              <w:rPr>
                <w:rFonts w:ascii="Arial" w:eastAsia="Arial" w:hAnsi="Arial" w:cs="Arial"/>
                <w:b/>
                <w:sz w:val="18"/>
              </w:rPr>
            </w:pPr>
            <w:r w:rsidRPr="005C203E">
              <w:rPr>
                <w:rFonts w:ascii="Arial" w:eastAsia="Arial" w:hAnsi="Arial" w:cs="Arial"/>
                <w:b/>
                <w:sz w:val="18"/>
              </w:rPr>
              <w:t>SIC Code(s)*</w:t>
            </w:r>
          </w:p>
        </w:tc>
        <w:tc>
          <w:tcPr>
            <w:tcW w:w="649" w:type="pct"/>
            <w:tcBorders>
              <w:top w:val="single" w:sz="12" w:space="0" w:color="auto"/>
              <w:bottom w:val="single" w:sz="12" w:space="0" w:color="auto"/>
            </w:tcBorders>
            <w:vAlign w:val="center"/>
          </w:tcPr>
          <w:p w14:paraId="79C69E11" w14:textId="77777777" w:rsidR="00BE1599" w:rsidRPr="005C203E" w:rsidRDefault="00BE1599" w:rsidP="00BE1599">
            <w:pPr>
              <w:spacing w:before="40" w:after="40"/>
              <w:rPr>
                <w:rFonts w:ascii="Arial" w:eastAsia="Arial" w:hAnsi="Arial" w:cs="Arial"/>
                <w:b/>
                <w:sz w:val="18"/>
              </w:rPr>
            </w:pPr>
            <w:r w:rsidRPr="005C203E">
              <w:rPr>
                <w:rFonts w:ascii="Arial" w:eastAsia="Arial" w:hAnsi="Arial" w:cs="Arial"/>
                <w:b/>
                <w:sz w:val="18"/>
              </w:rPr>
              <w:t>NAICS Code(s)*</w:t>
            </w:r>
          </w:p>
        </w:tc>
        <w:tc>
          <w:tcPr>
            <w:tcW w:w="1301" w:type="pct"/>
            <w:tcBorders>
              <w:top w:val="single" w:sz="12" w:space="0" w:color="auto"/>
              <w:bottom w:val="single" w:sz="12" w:space="0" w:color="auto"/>
              <w:right w:val="single" w:sz="12" w:space="0" w:color="auto"/>
            </w:tcBorders>
            <w:vAlign w:val="center"/>
          </w:tcPr>
          <w:p w14:paraId="53AAE291" w14:textId="77777777" w:rsidR="00BE1599" w:rsidRPr="005C203E" w:rsidRDefault="00BE1599" w:rsidP="00BE1599">
            <w:pPr>
              <w:spacing w:before="40" w:after="40"/>
              <w:rPr>
                <w:rFonts w:ascii="Arial" w:eastAsia="Arial" w:hAnsi="Arial" w:cs="Arial"/>
                <w:b/>
                <w:sz w:val="18"/>
              </w:rPr>
            </w:pPr>
            <w:r w:rsidRPr="005C203E">
              <w:rPr>
                <w:rFonts w:ascii="Arial" w:eastAsia="Arial" w:hAnsi="Arial" w:cs="Arial"/>
                <w:b/>
                <w:sz w:val="18"/>
              </w:rPr>
              <w:t>Activity Level Reporting Threshold</w:t>
            </w:r>
          </w:p>
        </w:tc>
      </w:tr>
      <w:tr w:rsidR="00BE1599" w:rsidRPr="00BE1599" w14:paraId="3736A417" w14:textId="77777777" w:rsidTr="00BE1599">
        <w:trPr>
          <w:cantSplit/>
          <w:trHeight w:val="504"/>
        </w:trPr>
        <w:tc>
          <w:tcPr>
            <w:tcW w:w="301" w:type="pct"/>
            <w:tcBorders>
              <w:top w:val="single" w:sz="12" w:space="0" w:color="auto"/>
              <w:left w:val="single" w:sz="12" w:space="0" w:color="auto"/>
              <w:right w:val="single" w:sz="4" w:space="0" w:color="auto"/>
            </w:tcBorders>
          </w:tcPr>
          <w:p w14:paraId="1354311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301" w:type="pct"/>
            <w:tcBorders>
              <w:top w:val="single" w:sz="12" w:space="0" w:color="auto"/>
              <w:left w:val="single" w:sz="4" w:space="0" w:color="auto"/>
            </w:tcBorders>
          </w:tcPr>
          <w:p w14:paraId="1FECA4B7"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12" w:space="0" w:color="auto"/>
              <w:bottom w:val="single" w:sz="4" w:space="0" w:color="auto"/>
            </w:tcBorders>
          </w:tcPr>
          <w:p w14:paraId="5477B40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Metal plating, anodizing, or grinding using cadmium or chromium</w:t>
            </w:r>
          </w:p>
        </w:tc>
        <w:tc>
          <w:tcPr>
            <w:tcW w:w="649" w:type="pct"/>
            <w:tcBorders>
              <w:top w:val="single" w:sz="12" w:space="0" w:color="auto"/>
              <w:bottom w:val="single" w:sz="4" w:space="0" w:color="auto"/>
            </w:tcBorders>
          </w:tcPr>
          <w:p w14:paraId="0F426F8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12" w:space="0" w:color="auto"/>
              <w:bottom w:val="single" w:sz="4" w:space="0" w:color="auto"/>
            </w:tcBorders>
          </w:tcPr>
          <w:p w14:paraId="02BE232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12" w:space="0" w:color="auto"/>
              <w:bottom w:val="single" w:sz="4" w:space="0" w:color="auto"/>
              <w:right w:val="single" w:sz="12" w:space="0" w:color="auto"/>
            </w:tcBorders>
          </w:tcPr>
          <w:p w14:paraId="5356779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3F441F63" w14:textId="77777777" w:rsidTr="00BE1599">
        <w:trPr>
          <w:cantSplit/>
          <w:trHeight w:val="504"/>
        </w:trPr>
        <w:tc>
          <w:tcPr>
            <w:tcW w:w="301" w:type="pct"/>
            <w:tcBorders>
              <w:left w:val="single" w:sz="12" w:space="0" w:color="auto"/>
              <w:right w:val="single" w:sz="4" w:space="0" w:color="auto"/>
            </w:tcBorders>
          </w:tcPr>
          <w:p w14:paraId="4641D4B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301" w:type="pct"/>
            <w:tcBorders>
              <w:left w:val="single" w:sz="4" w:space="0" w:color="auto"/>
            </w:tcBorders>
          </w:tcPr>
          <w:p w14:paraId="668AE39F"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794B34D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Plating, polishing, coating, engraving, and allied services, including thermal spraying, using chromium, cadmium, or nickel</w:t>
            </w:r>
          </w:p>
        </w:tc>
        <w:tc>
          <w:tcPr>
            <w:tcW w:w="649" w:type="pct"/>
            <w:tcBorders>
              <w:top w:val="single" w:sz="4" w:space="0" w:color="auto"/>
              <w:bottom w:val="single" w:sz="4" w:space="0" w:color="auto"/>
            </w:tcBorders>
          </w:tcPr>
          <w:p w14:paraId="5537BD8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347x</w:t>
            </w:r>
          </w:p>
        </w:tc>
        <w:tc>
          <w:tcPr>
            <w:tcW w:w="649" w:type="pct"/>
            <w:tcBorders>
              <w:top w:val="single" w:sz="4" w:space="0" w:color="auto"/>
              <w:bottom w:val="single" w:sz="4" w:space="0" w:color="auto"/>
            </w:tcBorders>
          </w:tcPr>
          <w:p w14:paraId="566FBE2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3328xx and 33991x</w:t>
            </w:r>
          </w:p>
        </w:tc>
        <w:tc>
          <w:tcPr>
            <w:tcW w:w="1301" w:type="pct"/>
            <w:tcBorders>
              <w:top w:val="single" w:sz="4" w:space="0" w:color="auto"/>
              <w:bottom w:val="single" w:sz="4" w:space="0" w:color="auto"/>
              <w:right w:val="single" w:sz="12" w:space="0" w:color="auto"/>
            </w:tcBorders>
          </w:tcPr>
          <w:p w14:paraId="17DE1E7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384E5EF" w14:textId="77777777" w:rsidTr="00BE1599">
        <w:trPr>
          <w:cantSplit/>
          <w:trHeight w:val="504"/>
        </w:trPr>
        <w:tc>
          <w:tcPr>
            <w:tcW w:w="301" w:type="pct"/>
            <w:tcBorders>
              <w:left w:val="single" w:sz="12" w:space="0" w:color="auto"/>
              <w:right w:val="single" w:sz="4" w:space="0" w:color="auto"/>
            </w:tcBorders>
          </w:tcPr>
          <w:p w14:paraId="3374F67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301" w:type="pct"/>
            <w:tcBorders>
              <w:left w:val="single" w:sz="4" w:space="0" w:color="auto"/>
            </w:tcBorders>
          </w:tcPr>
          <w:p w14:paraId="2920742C"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5D158B4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Petroleum refining and industries related to petroleum refining</w:t>
            </w:r>
          </w:p>
        </w:tc>
        <w:tc>
          <w:tcPr>
            <w:tcW w:w="649" w:type="pct"/>
            <w:tcBorders>
              <w:top w:val="single" w:sz="4" w:space="0" w:color="auto"/>
              <w:bottom w:val="single" w:sz="4" w:space="0" w:color="auto"/>
            </w:tcBorders>
          </w:tcPr>
          <w:p w14:paraId="1E8C439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2911 through 2999</w:t>
            </w:r>
          </w:p>
        </w:tc>
        <w:tc>
          <w:tcPr>
            <w:tcW w:w="649" w:type="pct"/>
            <w:tcBorders>
              <w:top w:val="single" w:sz="4" w:space="0" w:color="auto"/>
              <w:bottom w:val="single" w:sz="4" w:space="0" w:color="auto"/>
            </w:tcBorders>
          </w:tcPr>
          <w:p w14:paraId="0608A3F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3241xx, 325110, and 325194</w:t>
            </w:r>
          </w:p>
        </w:tc>
        <w:tc>
          <w:tcPr>
            <w:tcW w:w="1301" w:type="pct"/>
            <w:tcBorders>
              <w:top w:val="single" w:sz="4" w:space="0" w:color="auto"/>
              <w:bottom w:val="single" w:sz="4" w:space="0" w:color="auto"/>
              <w:right w:val="single" w:sz="12" w:space="0" w:color="auto"/>
            </w:tcBorders>
          </w:tcPr>
          <w:p w14:paraId="1486D42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53C6B29C" w14:textId="77777777" w:rsidTr="00BE1599">
        <w:trPr>
          <w:cantSplit/>
          <w:trHeight w:val="504"/>
        </w:trPr>
        <w:tc>
          <w:tcPr>
            <w:tcW w:w="301" w:type="pct"/>
            <w:tcBorders>
              <w:left w:val="single" w:sz="12" w:space="0" w:color="auto"/>
              <w:right w:val="single" w:sz="4" w:space="0" w:color="auto"/>
            </w:tcBorders>
          </w:tcPr>
          <w:p w14:paraId="6C75C389"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p>
        </w:tc>
        <w:tc>
          <w:tcPr>
            <w:tcW w:w="301" w:type="pct"/>
            <w:tcBorders>
              <w:top w:val="single" w:sz="4" w:space="0" w:color="auto"/>
              <w:left w:val="single" w:sz="4" w:space="0" w:color="auto"/>
            </w:tcBorders>
          </w:tcPr>
          <w:p w14:paraId="7CDB441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02CF569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Industrial machinery manufacturing</w:t>
            </w:r>
          </w:p>
        </w:tc>
        <w:tc>
          <w:tcPr>
            <w:tcW w:w="649" w:type="pct"/>
            <w:tcBorders>
              <w:top w:val="single" w:sz="4" w:space="0" w:color="auto"/>
              <w:bottom w:val="single" w:sz="4" w:space="0" w:color="auto"/>
            </w:tcBorders>
          </w:tcPr>
          <w:p w14:paraId="673874B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353x, 356x</w:t>
            </w:r>
          </w:p>
        </w:tc>
        <w:tc>
          <w:tcPr>
            <w:tcW w:w="649" w:type="pct"/>
            <w:tcBorders>
              <w:top w:val="single" w:sz="4" w:space="0" w:color="auto"/>
              <w:bottom w:val="single" w:sz="4" w:space="0" w:color="auto"/>
            </w:tcBorders>
          </w:tcPr>
          <w:p w14:paraId="7BE2058A"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333xxx</w:t>
            </w:r>
          </w:p>
        </w:tc>
        <w:tc>
          <w:tcPr>
            <w:tcW w:w="1301" w:type="pct"/>
            <w:tcBorders>
              <w:top w:val="single" w:sz="4" w:space="0" w:color="auto"/>
              <w:bottom w:val="single" w:sz="4" w:space="0" w:color="auto"/>
              <w:right w:val="single" w:sz="12" w:space="0" w:color="auto"/>
            </w:tcBorders>
          </w:tcPr>
          <w:p w14:paraId="28FB826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6BB680FB" w14:textId="77777777" w:rsidTr="00BE1599">
        <w:trPr>
          <w:cantSplit/>
          <w:trHeight w:val="504"/>
        </w:trPr>
        <w:tc>
          <w:tcPr>
            <w:tcW w:w="301" w:type="pct"/>
            <w:tcBorders>
              <w:left w:val="single" w:sz="12" w:space="0" w:color="auto"/>
              <w:right w:val="single" w:sz="4" w:space="0" w:color="auto"/>
            </w:tcBorders>
          </w:tcPr>
          <w:p w14:paraId="08BEFAE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5</w:t>
            </w:r>
          </w:p>
        </w:tc>
        <w:tc>
          <w:tcPr>
            <w:tcW w:w="301" w:type="pct"/>
            <w:tcBorders>
              <w:left w:val="single" w:sz="4" w:space="0" w:color="auto"/>
            </w:tcBorders>
          </w:tcPr>
          <w:p w14:paraId="21ACC098"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7B655C09" w14:textId="0CE62AC3" w:rsidR="00BE1599" w:rsidRPr="005C203E" w:rsidRDefault="00C13EB6" w:rsidP="00BE1599">
            <w:pPr>
              <w:spacing w:before="40" w:after="40"/>
              <w:rPr>
                <w:rFonts w:ascii="Arial" w:eastAsia="Arial" w:hAnsi="Arial" w:cs="Arial"/>
                <w:sz w:val="18"/>
              </w:rPr>
            </w:pPr>
            <w:r w:rsidRPr="005C203E">
              <w:rPr>
                <w:rFonts w:ascii="Arial" w:eastAsia="Arial" w:hAnsi="Arial" w:cs="Arial"/>
                <w:sz w:val="18"/>
              </w:rPr>
              <w:t>Release of fumigant, or f</w:t>
            </w:r>
            <w:r w:rsidR="00BE1599" w:rsidRPr="005C203E">
              <w:rPr>
                <w:rFonts w:ascii="Arial" w:eastAsia="Arial" w:hAnsi="Arial" w:cs="Arial"/>
                <w:sz w:val="18"/>
              </w:rPr>
              <w:t>umigation of crops for market using ethylene oxide, propylene oxide, methyl bromide, sulfuryl fluoride, sulfur dioxide, phosphine, or phosphine-generating processes</w:t>
            </w:r>
          </w:p>
        </w:tc>
        <w:tc>
          <w:tcPr>
            <w:tcW w:w="649" w:type="pct"/>
            <w:tcBorders>
              <w:top w:val="single" w:sz="4" w:space="0" w:color="auto"/>
              <w:bottom w:val="single" w:sz="4" w:space="0" w:color="auto"/>
            </w:tcBorders>
          </w:tcPr>
          <w:p w14:paraId="7A88B6C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0723, 2033, 2034, 2068, 2099, 5148</w:t>
            </w:r>
          </w:p>
        </w:tc>
        <w:tc>
          <w:tcPr>
            <w:tcW w:w="649" w:type="pct"/>
            <w:tcBorders>
              <w:top w:val="single" w:sz="4" w:space="0" w:color="auto"/>
              <w:bottom w:val="single" w:sz="4" w:space="0" w:color="auto"/>
            </w:tcBorders>
          </w:tcPr>
          <w:p w14:paraId="69D91E0D"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rPr>
              <w:t>115111, 115114, 3111xx through 3114xx, 3118xx, and 3119xx</w:t>
            </w:r>
          </w:p>
        </w:tc>
        <w:tc>
          <w:tcPr>
            <w:tcW w:w="1301" w:type="pct"/>
            <w:tcBorders>
              <w:top w:val="single" w:sz="4" w:space="0" w:color="auto"/>
              <w:bottom w:val="single" w:sz="4" w:space="0" w:color="auto"/>
              <w:right w:val="single" w:sz="12" w:space="0" w:color="auto"/>
            </w:tcBorders>
          </w:tcPr>
          <w:p w14:paraId="4962BB4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325AB42F" w14:textId="77777777" w:rsidTr="00BE1599">
        <w:trPr>
          <w:cantSplit/>
          <w:trHeight w:val="504"/>
        </w:trPr>
        <w:tc>
          <w:tcPr>
            <w:tcW w:w="301" w:type="pct"/>
            <w:tcBorders>
              <w:left w:val="single" w:sz="12" w:space="0" w:color="auto"/>
              <w:right w:val="single" w:sz="4" w:space="0" w:color="auto"/>
            </w:tcBorders>
          </w:tcPr>
          <w:p w14:paraId="537F0B41"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6</w:t>
            </w:r>
          </w:p>
        </w:tc>
        <w:tc>
          <w:tcPr>
            <w:tcW w:w="301" w:type="pct"/>
            <w:tcBorders>
              <w:top w:val="single" w:sz="4" w:space="0" w:color="auto"/>
              <w:left w:val="single" w:sz="4" w:space="0" w:color="auto"/>
            </w:tcBorders>
          </w:tcPr>
          <w:p w14:paraId="4BDF900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5AA47CE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Rubber and miscellaneous plastics products manufacturing if styrene, butadiene, phthalates, carcinogenic solvents, or isocyanates are used</w:t>
            </w:r>
          </w:p>
        </w:tc>
        <w:tc>
          <w:tcPr>
            <w:tcW w:w="649" w:type="pct"/>
            <w:tcBorders>
              <w:top w:val="single" w:sz="4" w:space="0" w:color="auto"/>
              <w:bottom w:val="single" w:sz="4" w:space="0" w:color="auto"/>
            </w:tcBorders>
          </w:tcPr>
          <w:p w14:paraId="7359BF5A"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rPr>
              <w:t>3011 through 3089, 3293, 3555</w:t>
            </w:r>
          </w:p>
        </w:tc>
        <w:tc>
          <w:tcPr>
            <w:tcW w:w="649" w:type="pct"/>
            <w:tcBorders>
              <w:top w:val="single" w:sz="4" w:space="0" w:color="auto"/>
              <w:bottom w:val="single" w:sz="4" w:space="0" w:color="auto"/>
            </w:tcBorders>
          </w:tcPr>
          <w:p w14:paraId="550EDA6D"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rPr>
              <w:t>31332x, 31491x, 3162xx, 3252xx, 325991, 3261xx, 3262xx, and 339113</w:t>
            </w:r>
          </w:p>
        </w:tc>
        <w:tc>
          <w:tcPr>
            <w:tcW w:w="1301" w:type="pct"/>
            <w:tcBorders>
              <w:top w:val="single" w:sz="4" w:space="0" w:color="auto"/>
              <w:bottom w:val="single" w:sz="4" w:space="0" w:color="auto"/>
              <w:right w:val="single" w:sz="12" w:space="0" w:color="auto"/>
            </w:tcBorders>
          </w:tcPr>
          <w:p w14:paraId="35DE75D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52E7A9AD" w14:textId="77777777" w:rsidTr="00BE1599">
        <w:trPr>
          <w:cantSplit/>
          <w:trHeight w:val="504"/>
        </w:trPr>
        <w:tc>
          <w:tcPr>
            <w:tcW w:w="301" w:type="pct"/>
            <w:tcBorders>
              <w:left w:val="single" w:sz="12" w:space="0" w:color="auto"/>
              <w:right w:val="single" w:sz="4" w:space="0" w:color="auto"/>
            </w:tcBorders>
          </w:tcPr>
          <w:p w14:paraId="5CBF401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7</w:t>
            </w:r>
          </w:p>
        </w:tc>
        <w:tc>
          <w:tcPr>
            <w:tcW w:w="301" w:type="pct"/>
            <w:tcBorders>
              <w:left w:val="single" w:sz="4" w:space="0" w:color="auto"/>
            </w:tcBorders>
          </w:tcPr>
          <w:p w14:paraId="3009D9F1"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04FABF8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Processes emitting 1,4-dioxane in reverse osmosis equipment manufacturing, water treatment filtration systems, manufacturing of paints, lacquers, cosmetics, and cleaning agents; manufacturing or processing of petroleum, pulp and paper, explosives; commercial printing, electroplating/polishing; manufacturing of pesticides, dyes, fibers, pharmaceuticals, adhesives, semiconductors, electronic components, photographic equipment, magnetic recording media, polymers, plastics, rubber, and organic and inorganic chemicals; and cleaning or degreasing solvent use containing 1,4-dioxane</w:t>
            </w:r>
          </w:p>
        </w:tc>
        <w:tc>
          <w:tcPr>
            <w:tcW w:w="649" w:type="pct"/>
            <w:tcBorders>
              <w:top w:val="single" w:sz="4" w:space="0" w:color="auto"/>
              <w:bottom w:val="single" w:sz="4" w:space="0" w:color="auto"/>
            </w:tcBorders>
          </w:tcPr>
          <w:p w14:paraId="2291803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13xx, 22xx, 26xx, 27xx, 28xx, 29xx, 30xx, 35xx, 36xx, 37xx, 38xx, 49xx, 50xx, 51xx, 73xx, 75xx, 76xx, 97xx</w:t>
            </w:r>
          </w:p>
        </w:tc>
        <w:tc>
          <w:tcPr>
            <w:tcW w:w="649" w:type="pct"/>
            <w:tcBorders>
              <w:top w:val="single" w:sz="4" w:space="0" w:color="auto"/>
              <w:bottom w:val="single" w:sz="4" w:space="0" w:color="auto"/>
            </w:tcBorders>
          </w:tcPr>
          <w:p w14:paraId="42F1B632"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szCs w:val="18"/>
              </w:rPr>
              <w:t>211xxx, 221xxx, 236xxx, 2371xx, 2389xx, 3115xx, 3121xx, 3149xx, 3222xx, 3231xx, 325xxx, 326xxx, 331xxx, 332xxx, 333xxx, 334xxx, 3361xx, 3364xx, 3399xx, 4881xx, 5311xx, 5417xx, 5622xx, 61xxxx, 8111xx, 92811x</w:t>
            </w:r>
          </w:p>
        </w:tc>
        <w:tc>
          <w:tcPr>
            <w:tcW w:w="1301" w:type="pct"/>
            <w:tcBorders>
              <w:top w:val="single" w:sz="4" w:space="0" w:color="auto"/>
              <w:bottom w:val="single" w:sz="4" w:space="0" w:color="auto"/>
              <w:right w:val="single" w:sz="12" w:space="0" w:color="auto"/>
            </w:tcBorders>
          </w:tcPr>
          <w:p w14:paraId="4DE776A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10 pounds of 1,4-dioxane emitted per year</w:t>
            </w:r>
          </w:p>
          <w:p w14:paraId="43C0B4DF" w14:textId="77777777" w:rsidR="00BE1599" w:rsidRPr="005C203E" w:rsidRDefault="00BE1599" w:rsidP="00BE1599">
            <w:pPr>
              <w:widowControl w:val="0"/>
              <w:autoSpaceDE w:val="0"/>
              <w:autoSpaceDN w:val="0"/>
              <w:rPr>
                <w:rFonts w:ascii="Arial" w:eastAsia="Arial" w:hAnsi="Arial" w:cs="Arial"/>
                <w:sz w:val="18"/>
              </w:rPr>
            </w:pPr>
          </w:p>
        </w:tc>
      </w:tr>
      <w:tr w:rsidR="00BE1599" w:rsidRPr="00BE1599" w14:paraId="5A60EE68" w14:textId="77777777" w:rsidTr="00BE1599">
        <w:trPr>
          <w:cantSplit/>
          <w:trHeight w:val="504"/>
        </w:trPr>
        <w:tc>
          <w:tcPr>
            <w:tcW w:w="301" w:type="pct"/>
            <w:tcBorders>
              <w:left w:val="single" w:sz="12" w:space="0" w:color="auto"/>
              <w:right w:val="single" w:sz="4" w:space="0" w:color="auto"/>
            </w:tcBorders>
          </w:tcPr>
          <w:p w14:paraId="1C65237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8</w:t>
            </w:r>
          </w:p>
        </w:tc>
        <w:tc>
          <w:tcPr>
            <w:tcW w:w="301" w:type="pct"/>
            <w:tcBorders>
              <w:left w:val="single" w:sz="4" w:space="0" w:color="auto"/>
            </w:tcBorders>
          </w:tcPr>
          <w:p w14:paraId="6F0D9ED5"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78934A1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Combustion of crude, residual, distillate, or diesel oil, except for the agricultural operations and medical-related industry sectors as defined in the SIC and NAICS columns</w:t>
            </w:r>
          </w:p>
        </w:tc>
        <w:tc>
          <w:tcPr>
            <w:tcW w:w="649" w:type="pct"/>
            <w:tcBorders>
              <w:top w:val="single" w:sz="4" w:space="0" w:color="auto"/>
              <w:bottom w:val="single" w:sz="4" w:space="0" w:color="auto"/>
            </w:tcBorders>
          </w:tcPr>
          <w:p w14:paraId="458E1FC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except SIC codes 0110 through 0762 and 8011 through 8099</w:t>
            </w:r>
          </w:p>
        </w:tc>
        <w:tc>
          <w:tcPr>
            <w:tcW w:w="649" w:type="pct"/>
            <w:tcBorders>
              <w:top w:val="single" w:sz="4" w:space="0" w:color="auto"/>
              <w:bottom w:val="single" w:sz="4" w:space="0" w:color="auto"/>
            </w:tcBorders>
          </w:tcPr>
          <w:p w14:paraId="78671EB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except 111xxx, 112xxx, 1151xx, 1152xx, and 621xxx through 623xxx</w:t>
            </w:r>
          </w:p>
        </w:tc>
        <w:tc>
          <w:tcPr>
            <w:tcW w:w="1301" w:type="pct"/>
            <w:tcBorders>
              <w:top w:val="single" w:sz="4" w:space="0" w:color="auto"/>
              <w:bottom w:val="single" w:sz="4" w:space="0" w:color="auto"/>
              <w:right w:val="single" w:sz="12" w:space="0" w:color="auto"/>
            </w:tcBorders>
          </w:tcPr>
          <w:p w14:paraId="742DA2BE" w14:textId="77777777" w:rsidR="00813800" w:rsidRPr="005C203E" w:rsidRDefault="00BE1599" w:rsidP="00813800">
            <w:pPr>
              <w:spacing w:after="240"/>
              <w:rPr>
                <w:rFonts w:ascii="Arial" w:eastAsia="Arial" w:hAnsi="Arial" w:cs="Arial"/>
                <w:sz w:val="18"/>
              </w:rPr>
            </w:pPr>
            <w:r w:rsidRPr="005C203E">
              <w:rPr>
                <w:rFonts w:ascii="Arial" w:eastAsia="Arial" w:hAnsi="Arial" w:cs="Arial"/>
                <w:sz w:val="18"/>
              </w:rPr>
              <w:t xml:space="preserve">Tier 4 or higher diesel engines: 100 gallons of fuel combusted per year, or 5 hours per year of </w:t>
            </w:r>
            <w:r w:rsidR="00626D0C" w:rsidRPr="005C203E">
              <w:rPr>
                <w:rFonts w:ascii="Arial" w:eastAsia="Arial" w:hAnsi="Arial" w:cs="Arial"/>
                <w:sz w:val="18"/>
              </w:rPr>
              <w:t xml:space="preserve">non-emergency </w:t>
            </w:r>
            <w:r w:rsidRPr="005C203E">
              <w:rPr>
                <w:rFonts w:ascii="Arial" w:eastAsia="Arial" w:hAnsi="Arial" w:cs="Arial"/>
                <w:sz w:val="18"/>
              </w:rPr>
              <w:t>operation.</w:t>
            </w:r>
          </w:p>
          <w:p w14:paraId="264B75B0" w14:textId="65E74421"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Tier zero through tier 3 diesel engines: 30 gallons of fuel combusted per year or 5 hours per year of </w:t>
            </w:r>
            <w:r w:rsidR="00917F26" w:rsidRPr="005C203E">
              <w:rPr>
                <w:rFonts w:ascii="Arial" w:eastAsia="Arial" w:hAnsi="Arial" w:cs="Arial"/>
                <w:sz w:val="18"/>
              </w:rPr>
              <w:t xml:space="preserve">non-emergency </w:t>
            </w:r>
            <w:r w:rsidRPr="005C203E">
              <w:rPr>
                <w:rFonts w:ascii="Arial" w:eastAsia="Arial" w:hAnsi="Arial" w:cs="Arial"/>
                <w:sz w:val="18"/>
              </w:rPr>
              <w:t>operation.</w:t>
            </w:r>
          </w:p>
          <w:p w14:paraId="37EEAC9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Combustion devices other than compression ignition engines: 100 gallons of fuel combusted per year.</w:t>
            </w:r>
          </w:p>
        </w:tc>
      </w:tr>
      <w:tr w:rsidR="00BE1599" w:rsidRPr="00BE1599" w14:paraId="145F7BCA" w14:textId="77777777" w:rsidTr="00BE1599">
        <w:trPr>
          <w:cantSplit/>
          <w:trHeight w:val="504"/>
        </w:trPr>
        <w:tc>
          <w:tcPr>
            <w:tcW w:w="301" w:type="pct"/>
            <w:tcBorders>
              <w:left w:val="single" w:sz="12" w:space="0" w:color="auto"/>
              <w:right w:val="single" w:sz="4" w:space="0" w:color="auto"/>
            </w:tcBorders>
          </w:tcPr>
          <w:p w14:paraId="53A6F0C9"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9</w:t>
            </w:r>
          </w:p>
        </w:tc>
        <w:tc>
          <w:tcPr>
            <w:tcW w:w="301" w:type="pct"/>
            <w:tcBorders>
              <w:left w:val="single" w:sz="4" w:space="0" w:color="auto"/>
            </w:tcBorders>
          </w:tcPr>
          <w:p w14:paraId="4670232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5701DB6C"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Processes emitting styrene, in boat and ship building and repair; rubber products manufacturing; plastics, resins, and foams manufacturing; utility vault manufacturing; cultured marble and stone manufacturing and wholesale; fiber cans and drums manufacturing; manufacturing and installation of polystyrene products; and furniture and fixtures manufacturing</w:t>
            </w:r>
          </w:p>
        </w:tc>
        <w:tc>
          <w:tcPr>
            <w:tcW w:w="649" w:type="pct"/>
            <w:tcBorders>
              <w:top w:val="single" w:sz="4" w:space="0" w:color="auto"/>
              <w:bottom w:val="single" w:sz="4" w:space="0" w:color="auto"/>
            </w:tcBorders>
          </w:tcPr>
          <w:p w14:paraId="7D4B9DEA"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17xx, 22xx, 23xx, 24xx, 25xx, 26xx, 28xx, 30xx, 32xx, 34xx, 35xx, 37xx, 38xx, 44xx, 45xx, 49xx, 50xx, 51xx, 75xx, 97xx</w:t>
            </w:r>
          </w:p>
        </w:tc>
        <w:tc>
          <w:tcPr>
            <w:tcW w:w="649" w:type="pct"/>
            <w:tcBorders>
              <w:top w:val="single" w:sz="4" w:space="0" w:color="auto"/>
              <w:bottom w:val="single" w:sz="4" w:space="0" w:color="auto"/>
            </w:tcBorders>
          </w:tcPr>
          <w:p w14:paraId="58F6187C"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211xxx, 2123xx, 213xxx, 221xxx, 236xxx, 237xxx, 311xxx, 3121xx, 313xxx, 314xxx, 315xxx, 316xxx, 321xxx, 322xxx, 32311x, 324xxx, 325xxx, 326xxx, 327xxx, 331xxx, 332xxx, 333xxx, 334xxx, 336xxx, 337xxx, 339xxx, 441xxx, 443xxx, 4441xx, 445xxx, 447xxx, 448xxx, 481xxx, 484xxx, 485xxx, 486xxx, 4881xx, 4883xx, 493xxx, 562xxx, 62xxxx, 722xxx, 8111xx, 8114xx, 8122xx, 92811x</w:t>
            </w:r>
          </w:p>
        </w:tc>
        <w:tc>
          <w:tcPr>
            <w:tcW w:w="1301" w:type="pct"/>
            <w:tcBorders>
              <w:top w:val="single" w:sz="4" w:space="0" w:color="auto"/>
              <w:bottom w:val="single" w:sz="4" w:space="0" w:color="auto"/>
              <w:right w:val="single" w:sz="12" w:space="0" w:color="auto"/>
            </w:tcBorders>
          </w:tcPr>
          <w:p w14:paraId="74163E4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 pound of styrene emitted per year</w:t>
            </w:r>
          </w:p>
        </w:tc>
      </w:tr>
      <w:tr w:rsidR="00BE1599" w:rsidRPr="00BE1599" w14:paraId="4A18324A" w14:textId="77777777" w:rsidTr="00BE1599">
        <w:trPr>
          <w:cantSplit/>
          <w:trHeight w:val="504"/>
        </w:trPr>
        <w:tc>
          <w:tcPr>
            <w:tcW w:w="301" w:type="pct"/>
            <w:tcBorders>
              <w:left w:val="single" w:sz="12" w:space="0" w:color="auto"/>
              <w:right w:val="single" w:sz="4" w:space="0" w:color="auto"/>
            </w:tcBorders>
          </w:tcPr>
          <w:p w14:paraId="2E1CBA24"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10</w:t>
            </w:r>
          </w:p>
        </w:tc>
        <w:tc>
          <w:tcPr>
            <w:tcW w:w="301" w:type="pct"/>
            <w:tcBorders>
              <w:left w:val="single" w:sz="4" w:space="0" w:color="auto"/>
            </w:tcBorders>
          </w:tcPr>
          <w:p w14:paraId="1F1DD50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5682B1E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Methylene chloride use for paint or coating removal, printing or print shop cleaning, or aircraft maintenance or repair</w:t>
            </w:r>
          </w:p>
        </w:tc>
        <w:tc>
          <w:tcPr>
            <w:tcW w:w="649" w:type="pct"/>
            <w:tcBorders>
              <w:top w:val="single" w:sz="4" w:space="0" w:color="auto"/>
              <w:bottom w:val="single" w:sz="4" w:space="0" w:color="auto"/>
            </w:tcBorders>
          </w:tcPr>
          <w:p w14:paraId="6EF0D45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2810235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0E28B0E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 gallon of methylene chloride used per year</w:t>
            </w:r>
          </w:p>
        </w:tc>
      </w:tr>
      <w:tr w:rsidR="00BE1599" w:rsidRPr="00BE1599" w14:paraId="261C9D95" w14:textId="77777777" w:rsidTr="00BE1599">
        <w:trPr>
          <w:cantSplit/>
          <w:trHeight w:val="504"/>
        </w:trPr>
        <w:tc>
          <w:tcPr>
            <w:tcW w:w="301" w:type="pct"/>
            <w:tcBorders>
              <w:left w:val="single" w:sz="12" w:space="0" w:color="auto"/>
              <w:right w:val="single" w:sz="4" w:space="0" w:color="auto"/>
            </w:tcBorders>
          </w:tcPr>
          <w:p w14:paraId="1D4E1195"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11</w:t>
            </w:r>
          </w:p>
        </w:tc>
        <w:tc>
          <w:tcPr>
            <w:tcW w:w="301" w:type="pct"/>
            <w:tcBorders>
              <w:left w:val="single" w:sz="4" w:space="0" w:color="auto"/>
            </w:tcBorders>
          </w:tcPr>
          <w:p w14:paraId="57054CA8"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015AA67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Paint stripping and varnish stripping</w:t>
            </w:r>
          </w:p>
        </w:tc>
        <w:tc>
          <w:tcPr>
            <w:tcW w:w="649" w:type="pct"/>
            <w:tcBorders>
              <w:top w:val="single" w:sz="4" w:space="0" w:color="auto"/>
              <w:bottom w:val="single" w:sz="4" w:space="0" w:color="auto"/>
            </w:tcBorders>
          </w:tcPr>
          <w:p w14:paraId="0DB1107B"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rPr>
              <w:t>7641</w:t>
            </w:r>
          </w:p>
        </w:tc>
        <w:tc>
          <w:tcPr>
            <w:tcW w:w="649" w:type="pct"/>
            <w:tcBorders>
              <w:top w:val="single" w:sz="4" w:space="0" w:color="auto"/>
              <w:bottom w:val="single" w:sz="4" w:space="0" w:color="auto"/>
            </w:tcBorders>
          </w:tcPr>
          <w:p w14:paraId="5CD1EBB7" w14:textId="77777777" w:rsidR="00BE1599" w:rsidRPr="005C203E" w:rsidRDefault="00BE1599" w:rsidP="00BE1599">
            <w:pPr>
              <w:spacing w:before="40" w:after="40"/>
              <w:rPr>
                <w:rFonts w:ascii="Arial" w:eastAsia="Arial" w:hAnsi="Arial" w:cs="Arial"/>
                <w:sz w:val="18"/>
                <w:szCs w:val="18"/>
              </w:rPr>
            </w:pPr>
            <w:r w:rsidRPr="005C203E">
              <w:rPr>
                <w:rFonts w:ascii="Arial" w:eastAsia="Arial" w:hAnsi="Arial" w:cs="Arial"/>
                <w:sz w:val="18"/>
              </w:rPr>
              <w:t>811420</w:t>
            </w:r>
          </w:p>
        </w:tc>
        <w:tc>
          <w:tcPr>
            <w:tcW w:w="1301" w:type="pct"/>
            <w:tcBorders>
              <w:top w:val="single" w:sz="4" w:space="0" w:color="auto"/>
              <w:bottom w:val="single" w:sz="4" w:space="0" w:color="auto"/>
              <w:right w:val="single" w:sz="12" w:space="0" w:color="auto"/>
            </w:tcBorders>
          </w:tcPr>
          <w:p w14:paraId="7C4CB73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706BAD9F" w14:textId="77777777" w:rsidTr="00BE1599">
        <w:trPr>
          <w:cantSplit/>
          <w:trHeight w:val="504"/>
        </w:trPr>
        <w:tc>
          <w:tcPr>
            <w:tcW w:w="301" w:type="pct"/>
            <w:tcBorders>
              <w:left w:val="single" w:sz="12" w:space="0" w:color="auto"/>
              <w:right w:val="single" w:sz="4" w:space="0" w:color="auto"/>
            </w:tcBorders>
          </w:tcPr>
          <w:p w14:paraId="32D61B65"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12</w:t>
            </w:r>
          </w:p>
        </w:tc>
        <w:tc>
          <w:tcPr>
            <w:tcW w:w="301" w:type="pct"/>
            <w:tcBorders>
              <w:top w:val="single" w:sz="4" w:space="0" w:color="auto"/>
              <w:left w:val="single" w:sz="4" w:space="0" w:color="auto"/>
            </w:tcBorders>
          </w:tcPr>
          <w:p w14:paraId="5AE5C95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3C6A95D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N-methyl pyrrolidone</w:t>
            </w:r>
          </w:p>
        </w:tc>
        <w:tc>
          <w:tcPr>
            <w:tcW w:w="649" w:type="pct"/>
            <w:tcBorders>
              <w:top w:val="single" w:sz="4" w:space="0" w:color="auto"/>
              <w:bottom w:val="single" w:sz="4" w:space="0" w:color="auto"/>
            </w:tcBorders>
          </w:tcPr>
          <w:p w14:paraId="6002C3D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651F5F6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7F9ACB0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 gallon of N-methyl pyrrolidone per year</w:t>
            </w:r>
          </w:p>
        </w:tc>
      </w:tr>
      <w:tr w:rsidR="00BE1599" w:rsidRPr="00BE1599" w14:paraId="38A6246B" w14:textId="77777777" w:rsidTr="00BE1599">
        <w:trPr>
          <w:cantSplit/>
          <w:trHeight w:val="504"/>
        </w:trPr>
        <w:tc>
          <w:tcPr>
            <w:tcW w:w="301" w:type="pct"/>
            <w:tcBorders>
              <w:left w:val="single" w:sz="12" w:space="0" w:color="auto"/>
              <w:right w:val="single" w:sz="4" w:space="0" w:color="auto"/>
            </w:tcBorders>
          </w:tcPr>
          <w:p w14:paraId="6DF0A41F"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13</w:t>
            </w:r>
          </w:p>
        </w:tc>
        <w:tc>
          <w:tcPr>
            <w:tcW w:w="301" w:type="pct"/>
            <w:tcBorders>
              <w:left w:val="single" w:sz="4" w:space="0" w:color="auto"/>
            </w:tcBorders>
          </w:tcPr>
          <w:p w14:paraId="43D520BD"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6255C6A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Dry cleaning facilities, except facilities that only use water or carbon </w:t>
            </w:r>
            <w:proofErr w:type="gramStart"/>
            <w:r w:rsidRPr="005C203E">
              <w:rPr>
                <w:rFonts w:ascii="Arial" w:eastAsia="Arial" w:hAnsi="Arial" w:cs="Arial"/>
                <w:sz w:val="18"/>
              </w:rPr>
              <w:t>dioxide based</w:t>
            </w:r>
            <w:proofErr w:type="gramEnd"/>
            <w:r w:rsidRPr="005C203E">
              <w:rPr>
                <w:rFonts w:ascii="Arial" w:eastAsia="Arial" w:hAnsi="Arial" w:cs="Arial"/>
                <w:sz w:val="18"/>
              </w:rPr>
              <w:t xml:space="preserve"> cleaning systems</w:t>
            </w:r>
          </w:p>
        </w:tc>
        <w:tc>
          <w:tcPr>
            <w:tcW w:w="649" w:type="pct"/>
            <w:tcBorders>
              <w:top w:val="single" w:sz="4" w:space="0" w:color="auto"/>
              <w:bottom w:val="single" w:sz="4" w:space="0" w:color="auto"/>
            </w:tcBorders>
          </w:tcPr>
          <w:p w14:paraId="0FB2E64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7216, 7217</w:t>
            </w:r>
          </w:p>
        </w:tc>
        <w:tc>
          <w:tcPr>
            <w:tcW w:w="649" w:type="pct"/>
            <w:tcBorders>
              <w:top w:val="single" w:sz="4" w:space="0" w:color="auto"/>
              <w:bottom w:val="single" w:sz="4" w:space="0" w:color="auto"/>
            </w:tcBorders>
          </w:tcPr>
          <w:p w14:paraId="5D3859E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812320, 561740</w:t>
            </w:r>
          </w:p>
        </w:tc>
        <w:tc>
          <w:tcPr>
            <w:tcW w:w="1301" w:type="pct"/>
            <w:tcBorders>
              <w:top w:val="single" w:sz="4" w:space="0" w:color="auto"/>
              <w:bottom w:val="single" w:sz="4" w:space="0" w:color="auto"/>
              <w:right w:val="single" w:sz="12" w:space="0" w:color="auto"/>
            </w:tcBorders>
          </w:tcPr>
          <w:p w14:paraId="55DDCA4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CC49B1B" w14:textId="77777777" w:rsidTr="00BE1599">
        <w:trPr>
          <w:cantSplit/>
          <w:trHeight w:val="504"/>
        </w:trPr>
        <w:tc>
          <w:tcPr>
            <w:tcW w:w="301" w:type="pct"/>
            <w:tcBorders>
              <w:left w:val="single" w:sz="12" w:space="0" w:color="auto"/>
              <w:bottom w:val="single" w:sz="4" w:space="0" w:color="auto"/>
              <w:right w:val="single" w:sz="4" w:space="0" w:color="auto"/>
            </w:tcBorders>
          </w:tcPr>
          <w:p w14:paraId="58CFE4CD"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14</w:t>
            </w:r>
          </w:p>
        </w:tc>
        <w:tc>
          <w:tcPr>
            <w:tcW w:w="301" w:type="pct"/>
            <w:tcBorders>
              <w:left w:val="single" w:sz="4" w:space="0" w:color="auto"/>
              <w:bottom w:val="single" w:sz="4" w:space="0" w:color="auto"/>
            </w:tcBorders>
          </w:tcPr>
          <w:p w14:paraId="3A8974B3"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464EC3E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Tert-butyl acetate use in, aerospace manufacturing and maintenance; fabricated metal products manufacturing; manufacture or use of coatings, inks, adhesives, </w:t>
            </w:r>
            <w:proofErr w:type="gramStart"/>
            <w:r w:rsidRPr="005C203E">
              <w:rPr>
                <w:rFonts w:ascii="Arial" w:eastAsia="Arial" w:hAnsi="Arial" w:cs="Arial"/>
                <w:sz w:val="18"/>
              </w:rPr>
              <w:t>cleaners</w:t>
            </w:r>
            <w:proofErr w:type="gramEnd"/>
            <w:r w:rsidRPr="005C203E">
              <w:rPr>
                <w:rFonts w:ascii="Arial" w:eastAsia="Arial" w:hAnsi="Arial" w:cs="Arial"/>
                <w:sz w:val="18"/>
              </w:rPr>
              <w:t xml:space="preserve"> and degreasers; and military facilities. Tert-butyl acetate from auto body repair and coating operations are reported under the Phase 2 category for that process.</w:t>
            </w:r>
          </w:p>
        </w:tc>
        <w:tc>
          <w:tcPr>
            <w:tcW w:w="649" w:type="pct"/>
            <w:tcBorders>
              <w:top w:val="single" w:sz="4" w:space="0" w:color="auto"/>
              <w:bottom w:val="single" w:sz="4" w:space="0" w:color="auto"/>
            </w:tcBorders>
          </w:tcPr>
          <w:p w14:paraId="56BE5CB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 xml:space="preserve">28xx, 32xx, 33xx, 34xx, 37xx, 38xx, 49xx, 50xx, 97xx. Auto body repair and coating operations, and the associated SICs, </w:t>
            </w:r>
            <w:r w:rsidRPr="005C203E">
              <w:rPr>
                <w:rFonts w:ascii="Arial" w:eastAsia="Arial" w:hAnsi="Arial" w:cs="Arial"/>
                <w:sz w:val="18"/>
              </w:rPr>
              <w:t xml:space="preserve">5511 through 5521, 7532, and 7535, </w:t>
            </w:r>
            <w:r w:rsidRPr="005C203E">
              <w:rPr>
                <w:rFonts w:ascii="Arial" w:eastAsia="Arial" w:hAnsi="Arial" w:cs="Arial"/>
                <w:sz w:val="18"/>
                <w:szCs w:val="18"/>
              </w:rPr>
              <w:t>are reported under Phase 2.</w:t>
            </w:r>
          </w:p>
        </w:tc>
        <w:tc>
          <w:tcPr>
            <w:tcW w:w="649" w:type="pct"/>
            <w:tcBorders>
              <w:top w:val="single" w:sz="4" w:space="0" w:color="auto"/>
              <w:bottom w:val="single" w:sz="4" w:space="0" w:color="auto"/>
            </w:tcBorders>
          </w:tcPr>
          <w:p w14:paraId="5FF6E21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 xml:space="preserve">325xxx, 327xxx, 331xxx, 332xxx, 3362xx, 3363xx, 3369xx, 3364xx, 5417xx, 5629xx, 92811x. Auto body repair and coating operations, and the associated NAICS, </w:t>
            </w:r>
            <w:r w:rsidRPr="005C203E">
              <w:rPr>
                <w:rFonts w:ascii="Arial" w:eastAsia="Arial" w:hAnsi="Arial" w:cs="Arial"/>
                <w:sz w:val="18"/>
              </w:rPr>
              <w:t xml:space="preserve">4411xx, 44121x, 441228, 44131x, 811111, and 811121, </w:t>
            </w:r>
            <w:r w:rsidRPr="005C203E">
              <w:rPr>
                <w:rFonts w:ascii="Arial" w:eastAsia="Arial" w:hAnsi="Arial" w:cs="Arial"/>
                <w:sz w:val="18"/>
                <w:szCs w:val="18"/>
              </w:rPr>
              <w:t>are reported under Phase 2.</w:t>
            </w:r>
          </w:p>
        </w:tc>
        <w:tc>
          <w:tcPr>
            <w:tcW w:w="1301" w:type="pct"/>
            <w:tcBorders>
              <w:top w:val="single" w:sz="4" w:space="0" w:color="auto"/>
              <w:bottom w:val="single" w:sz="4" w:space="0" w:color="auto"/>
              <w:right w:val="single" w:sz="12" w:space="0" w:color="auto"/>
            </w:tcBorders>
          </w:tcPr>
          <w:p w14:paraId="1D4C8CDC"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20 pounds of tert-butyl acetate used per year</w:t>
            </w:r>
          </w:p>
        </w:tc>
      </w:tr>
      <w:tr w:rsidR="00BE1599" w:rsidRPr="00BE1599" w14:paraId="4BC81067" w14:textId="77777777" w:rsidTr="00BE1599">
        <w:trPr>
          <w:cantSplit/>
          <w:trHeight w:val="504"/>
        </w:trPr>
        <w:tc>
          <w:tcPr>
            <w:tcW w:w="301" w:type="pct"/>
            <w:tcBorders>
              <w:top w:val="single" w:sz="4" w:space="0" w:color="auto"/>
              <w:left w:val="single" w:sz="12" w:space="0" w:color="auto"/>
              <w:right w:val="single" w:sz="4" w:space="0" w:color="auto"/>
            </w:tcBorders>
          </w:tcPr>
          <w:p w14:paraId="3D7F23B7"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15</w:t>
            </w:r>
          </w:p>
        </w:tc>
        <w:tc>
          <w:tcPr>
            <w:tcW w:w="301" w:type="pct"/>
            <w:tcBorders>
              <w:top w:val="single" w:sz="4" w:space="0" w:color="auto"/>
              <w:left w:val="single" w:sz="4" w:space="0" w:color="auto"/>
            </w:tcBorders>
          </w:tcPr>
          <w:p w14:paraId="5189F334"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3443F5EC" w14:textId="353BA357" w:rsidR="00BE1599" w:rsidRPr="005C203E" w:rsidRDefault="00BE1599" w:rsidP="00813800">
            <w:pPr>
              <w:widowControl w:val="0"/>
              <w:autoSpaceDE w:val="0"/>
              <w:autoSpaceDN w:val="0"/>
              <w:spacing w:after="240"/>
              <w:rPr>
                <w:rFonts w:ascii="Arial" w:eastAsia="Arial" w:hAnsi="Arial" w:cs="Arial"/>
                <w:sz w:val="18"/>
              </w:rPr>
            </w:pPr>
            <w:r w:rsidRPr="005C203E">
              <w:rPr>
                <w:rFonts w:ascii="Arial" w:eastAsia="Arial" w:hAnsi="Arial" w:cs="Arial"/>
                <w:sz w:val="18"/>
              </w:rPr>
              <w:t xml:space="preserve">Use of </w:t>
            </w:r>
            <w:proofErr w:type="spellStart"/>
            <w:r w:rsidRPr="005C203E">
              <w:rPr>
                <w:rFonts w:ascii="Arial" w:eastAsia="Arial" w:hAnsi="Arial" w:cs="Arial"/>
                <w:sz w:val="18"/>
              </w:rPr>
              <w:t>parachlorobenzotrifluoride</w:t>
            </w:r>
            <w:proofErr w:type="spellEnd"/>
            <w:r w:rsidRPr="005C203E">
              <w:rPr>
                <w:rFonts w:ascii="Arial" w:eastAsia="Arial" w:hAnsi="Arial" w:cs="Arial"/>
                <w:sz w:val="18"/>
              </w:rPr>
              <w:t xml:space="preserve"> (PCBTF) in cleaning or degreasing solvents, adhesives, printing inks, or coating operations</w:t>
            </w:r>
            <w:r w:rsidR="00813800" w:rsidRPr="005C203E">
              <w:rPr>
                <w:rFonts w:ascii="Arial" w:eastAsia="Arial" w:hAnsi="Arial" w:cs="Arial"/>
                <w:sz w:val="18"/>
              </w:rPr>
              <w:t xml:space="preserve">. </w:t>
            </w:r>
            <w:r w:rsidRPr="005C203E">
              <w:rPr>
                <w:rFonts w:ascii="Arial" w:eastAsia="Arial" w:hAnsi="Arial" w:cs="Arial"/>
                <w:sz w:val="18"/>
              </w:rPr>
              <w:t>PCBTF from auto body repair and coating operations are reported under the Phase 2 category for that process.</w:t>
            </w:r>
          </w:p>
        </w:tc>
        <w:tc>
          <w:tcPr>
            <w:tcW w:w="649" w:type="pct"/>
            <w:tcBorders>
              <w:top w:val="single" w:sz="4" w:space="0" w:color="auto"/>
              <w:bottom w:val="single" w:sz="4" w:space="0" w:color="auto"/>
            </w:tcBorders>
          </w:tcPr>
          <w:p w14:paraId="2E3E250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p w14:paraId="211EF2D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 xml:space="preserve">Auto body repair and coating operations, and the associated SICs, </w:t>
            </w:r>
            <w:r w:rsidRPr="005C203E">
              <w:rPr>
                <w:rFonts w:ascii="Arial" w:eastAsia="Arial" w:hAnsi="Arial" w:cs="Arial"/>
                <w:sz w:val="18"/>
              </w:rPr>
              <w:t xml:space="preserve">5511 through 5521, 7532, and 7535, </w:t>
            </w:r>
            <w:r w:rsidRPr="005C203E">
              <w:rPr>
                <w:rFonts w:ascii="Arial" w:eastAsia="Arial" w:hAnsi="Arial" w:cs="Arial"/>
                <w:sz w:val="18"/>
                <w:szCs w:val="18"/>
              </w:rPr>
              <w:t>are reported under Phase 2.</w:t>
            </w:r>
          </w:p>
        </w:tc>
        <w:tc>
          <w:tcPr>
            <w:tcW w:w="649" w:type="pct"/>
            <w:tcBorders>
              <w:top w:val="single" w:sz="4" w:space="0" w:color="auto"/>
              <w:bottom w:val="single" w:sz="4" w:space="0" w:color="auto"/>
            </w:tcBorders>
          </w:tcPr>
          <w:p w14:paraId="3B5689D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01F2698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5 pounds or 0.5 gallon of </w:t>
            </w:r>
            <w:proofErr w:type="spellStart"/>
            <w:r w:rsidRPr="005C203E">
              <w:rPr>
                <w:rFonts w:ascii="Arial" w:eastAsia="Arial" w:hAnsi="Arial" w:cs="Arial"/>
                <w:sz w:val="18"/>
              </w:rPr>
              <w:t>parachlorobenzotrifluoride</w:t>
            </w:r>
            <w:proofErr w:type="spellEnd"/>
            <w:r w:rsidRPr="005C203E">
              <w:rPr>
                <w:rFonts w:ascii="Arial" w:eastAsia="Arial" w:hAnsi="Arial" w:cs="Arial"/>
                <w:sz w:val="18"/>
              </w:rPr>
              <w:t xml:space="preserve"> used per year</w:t>
            </w:r>
          </w:p>
        </w:tc>
      </w:tr>
      <w:tr w:rsidR="00BE1599" w:rsidRPr="00BE1599" w14:paraId="3D8F4229" w14:textId="77777777" w:rsidTr="00BE1599">
        <w:trPr>
          <w:cantSplit/>
          <w:trHeight w:val="504"/>
        </w:trPr>
        <w:tc>
          <w:tcPr>
            <w:tcW w:w="301" w:type="pct"/>
            <w:tcBorders>
              <w:top w:val="single" w:sz="4" w:space="0" w:color="auto"/>
              <w:left w:val="single" w:sz="12" w:space="0" w:color="auto"/>
              <w:right w:val="single" w:sz="4" w:space="0" w:color="auto"/>
            </w:tcBorders>
          </w:tcPr>
          <w:p w14:paraId="552A1284"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16</w:t>
            </w:r>
          </w:p>
        </w:tc>
        <w:tc>
          <w:tcPr>
            <w:tcW w:w="301" w:type="pct"/>
            <w:tcBorders>
              <w:left w:val="single" w:sz="4" w:space="0" w:color="auto"/>
            </w:tcBorders>
          </w:tcPr>
          <w:p w14:paraId="4A152D4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w:t>
            </w:r>
          </w:p>
        </w:tc>
        <w:tc>
          <w:tcPr>
            <w:tcW w:w="1799" w:type="pct"/>
            <w:tcBorders>
              <w:top w:val="single" w:sz="4" w:space="0" w:color="auto"/>
              <w:bottom w:val="single" w:sz="4" w:space="0" w:color="auto"/>
            </w:tcBorders>
          </w:tcPr>
          <w:p w14:paraId="297759D5" w14:textId="77777777" w:rsidR="00BE1599" w:rsidRPr="005C203E" w:rsidRDefault="00BE1599" w:rsidP="00BE1599">
            <w:pPr>
              <w:widowControl w:val="0"/>
              <w:autoSpaceDE w:val="0"/>
              <w:autoSpaceDN w:val="0"/>
              <w:spacing w:before="40" w:after="40"/>
              <w:rPr>
                <w:rFonts w:ascii="Arial" w:eastAsia="Arial" w:hAnsi="Arial" w:cs="Arial"/>
                <w:sz w:val="18"/>
              </w:rPr>
            </w:pPr>
            <w:r w:rsidRPr="005C203E">
              <w:rPr>
                <w:rFonts w:ascii="Arial" w:eastAsia="Arial" w:hAnsi="Arial" w:cs="Arial"/>
                <w:sz w:val="18"/>
              </w:rPr>
              <w:t>Solvent cleaning and degreasing</w:t>
            </w:r>
          </w:p>
        </w:tc>
        <w:tc>
          <w:tcPr>
            <w:tcW w:w="649" w:type="pct"/>
            <w:tcBorders>
              <w:top w:val="single" w:sz="4" w:space="0" w:color="auto"/>
              <w:bottom w:val="single" w:sz="4" w:space="0" w:color="auto"/>
            </w:tcBorders>
          </w:tcPr>
          <w:p w14:paraId="62BE141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13xx, 17xx, 22xx, 25xx, 26xx, 27xx, 28xx, 29xx, 30xx, 32xx, 33xx, 34xx, 35xx, 36xx, 37xx, 38xx, 39xx, 45xx, 49xx, 509x, 519x, 75xx, 7623, 7641, 8071, 822x, 9711</w:t>
            </w:r>
          </w:p>
        </w:tc>
        <w:tc>
          <w:tcPr>
            <w:tcW w:w="649" w:type="pct"/>
            <w:tcBorders>
              <w:top w:val="single" w:sz="4" w:space="0" w:color="auto"/>
              <w:bottom w:val="single" w:sz="4" w:space="0" w:color="auto"/>
            </w:tcBorders>
          </w:tcPr>
          <w:p w14:paraId="3114F29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211xxx, 212xxx 213xxx, 221xxx, 238xxx, 322xxx, 323xxx, 324xxx, 325xxx, 326xxx, 327xxx, 332xxx, 333xxx, 334xxx, 335xxx, 336xxx, 337xxx, 339xxx, 423xxx, 425xxx, 441xxx, 447xxx, 451xxx, 486xxx, 488xxx, 541xxx, 562xxx, 611xxx, 811xxx, 928xxx</w:t>
            </w:r>
          </w:p>
        </w:tc>
        <w:tc>
          <w:tcPr>
            <w:tcW w:w="1301" w:type="pct"/>
            <w:tcBorders>
              <w:top w:val="single" w:sz="4" w:space="0" w:color="auto"/>
              <w:bottom w:val="single" w:sz="4" w:space="0" w:color="auto"/>
              <w:right w:val="single" w:sz="12" w:space="0" w:color="auto"/>
            </w:tcBorders>
          </w:tcPr>
          <w:p w14:paraId="0BAC8FD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solvents that are a listed substance designated as a human carcinogen or potential human carcinogen: Any activity level.</w:t>
            </w:r>
          </w:p>
          <w:p w14:paraId="7615CE1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solvents that are a listed substance but not designated as a human carcinogen or potential human carcinogen: Annual average of 55 gallons per month.</w:t>
            </w:r>
          </w:p>
        </w:tc>
      </w:tr>
      <w:tr w:rsidR="00BE1599" w:rsidRPr="00BE1599" w14:paraId="464F7995" w14:textId="77777777" w:rsidTr="00BE1599">
        <w:trPr>
          <w:cantSplit/>
          <w:trHeight w:val="504"/>
        </w:trPr>
        <w:tc>
          <w:tcPr>
            <w:tcW w:w="301" w:type="pct"/>
            <w:tcBorders>
              <w:left w:val="single" w:sz="12" w:space="0" w:color="auto"/>
              <w:right w:val="single" w:sz="4" w:space="0" w:color="auto"/>
            </w:tcBorders>
          </w:tcPr>
          <w:p w14:paraId="3BE9EC99"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17</w:t>
            </w:r>
          </w:p>
        </w:tc>
        <w:tc>
          <w:tcPr>
            <w:tcW w:w="301" w:type="pct"/>
            <w:tcBorders>
              <w:left w:val="single" w:sz="4" w:space="0" w:color="auto"/>
            </w:tcBorders>
          </w:tcPr>
          <w:p w14:paraId="18266AEC"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14E0A233" w14:textId="77777777" w:rsidR="00BE1599" w:rsidRPr="005C203E" w:rsidRDefault="00BE1599" w:rsidP="00BE1599">
            <w:pPr>
              <w:widowControl w:val="0"/>
              <w:autoSpaceDE w:val="0"/>
              <w:autoSpaceDN w:val="0"/>
              <w:spacing w:before="40" w:after="40"/>
              <w:rPr>
                <w:rFonts w:ascii="Arial" w:eastAsia="Arial" w:hAnsi="Arial" w:cs="Arial"/>
                <w:sz w:val="18"/>
              </w:rPr>
            </w:pPr>
            <w:r w:rsidRPr="005C203E">
              <w:rPr>
                <w:rFonts w:ascii="Arial" w:eastAsia="Arial" w:hAnsi="Arial" w:cs="Arial"/>
                <w:sz w:val="18"/>
              </w:rPr>
              <w:t>Isocyanate compound use, in print shops and commercial printing; aerospace manufacturing and maintenance; adhesive and sealants manufacturing; plastics foam products manufacturing; military facilities; manufacture of flexible and rigid foams, fibers, coatings such as paints and varnishes, and elastomers; spraying of polyurethane coatings on cement, wood, fiberglass and metals; surface coating of appliances; surface coating of magnetic tape; manufacture or use of blowing agents; production of polyurethane foam; and isocyanates from auto body repair and coating operations.</w:t>
            </w:r>
          </w:p>
        </w:tc>
        <w:tc>
          <w:tcPr>
            <w:tcW w:w="649" w:type="pct"/>
            <w:tcBorders>
              <w:top w:val="single" w:sz="4" w:space="0" w:color="auto"/>
              <w:bottom w:val="single" w:sz="4" w:space="0" w:color="auto"/>
            </w:tcBorders>
          </w:tcPr>
          <w:p w14:paraId="08BB366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 xml:space="preserve">24xx, 25xx, 26xx, 27xx, 28xx, 30xx, 33xx, 347x, 36xx, 37xx, 38xx, 39xx, 45xx, 50xx, 51xx, and 97xx, and auto body repair and coating operations, and the associated SICs, </w:t>
            </w:r>
            <w:r w:rsidRPr="005C203E">
              <w:rPr>
                <w:rFonts w:ascii="Arial" w:eastAsia="Arial" w:hAnsi="Arial" w:cs="Arial"/>
                <w:sz w:val="18"/>
              </w:rPr>
              <w:t>5511 through 5521, 7532, and 7535</w:t>
            </w:r>
            <w:r w:rsidRPr="005C203E">
              <w:rPr>
                <w:rFonts w:ascii="Arial" w:eastAsia="Arial" w:hAnsi="Arial" w:cs="Arial"/>
                <w:sz w:val="18"/>
                <w:szCs w:val="18"/>
              </w:rPr>
              <w:t>.</w:t>
            </w:r>
          </w:p>
        </w:tc>
        <w:tc>
          <w:tcPr>
            <w:tcW w:w="649" w:type="pct"/>
            <w:tcBorders>
              <w:top w:val="single" w:sz="4" w:space="0" w:color="auto"/>
              <w:bottom w:val="single" w:sz="4" w:space="0" w:color="auto"/>
            </w:tcBorders>
          </w:tcPr>
          <w:p w14:paraId="1123BA6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 xml:space="preserve">321xxx ,322xxx, 32311x, 324xxx, 325xxx, 326xxx, 3279xx, 331xxx, 334xxx, 335xxx, 3361xx, 3364xx, 3366xx, 339xxx, 481xxx, 4881xx, 4883xx, 5417xx, 8114xx, 92811x, and auto body repair and coating operations, and the associated NAICS, </w:t>
            </w:r>
            <w:r w:rsidRPr="005C203E">
              <w:rPr>
                <w:rFonts w:ascii="Arial" w:eastAsia="Arial" w:hAnsi="Arial" w:cs="Arial"/>
                <w:sz w:val="18"/>
              </w:rPr>
              <w:t>4411xx, 44121x, 441228, 44131x, 811111, and 811121</w:t>
            </w:r>
            <w:r w:rsidRPr="005C203E">
              <w:rPr>
                <w:rFonts w:ascii="Arial" w:eastAsia="Arial" w:hAnsi="Arial" w:cs="Arial"/>
                <w:sz w:val="18"/>
                <w:szCs w:val="18"/>
              </w:rPr>
              <w:t>.</w:t>
            </w:r>
          </w:p>
        </w:tc>
        <w:tc>
          <w:tcPr>
            <w:tcW w:w="1301" w:type="pct"/>
            <w:tcBorders>
              <w:top w:val="single" w:sz="4" w:space="0" w:color="auto"/>
              <w:bottom w:val="single" w:sz="4" w:space="0" w:color="auto"/>
              <w:right w:val="single" w:sz="12" w:space="0" w:color="auto"/>
            </w:tcBorders>
          </w:tcPr>
          <w:p w14:paraId="22B2F43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materials containing 3 pounds of isocyanates per year</w:t>
            </w:r>
          </w:p>
        </w:tc>
      </w:tr>
      <w:tr w:rsidR="00BE1599" w:rsidRPr="00BE1599" w14:paraId="4E4D90DC" w14:textId="77777777" w:rsidTr="00BE1599">
        <w:trPr>
          <w:cantSplit/>
          <w:trHeight w:val="504"/>
        </w:trPr>
        <w:tc>
          <w:tcPr>
            <w:tcW w:w="301" w:type="pct"/>
            <w:tcBorders>
              <w:top w:val="single" w:sz="4" w:space="0" w:color="auto"/>
              <w:left w:val="single" w:sz="12" w:space="0" w:color="auto"/>
              <w:right w:val="single" w:sz="4" w:space="0" w:color="auto"/>
            </w:tcBorders>
          </w:tcPr>
          <w:p w14:paraId="71F82B48"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18</w:t>
            </w:r>
          </w:p>
        </w:tc>
        <w:tc>
          <w:tcPr>
            <w:tcW w:w="301" w:type="pct"/>
            <w:tcBorders>
              <w:top w:val="single" w:sz="4" w:space="0" w:color="auto"/>
              <w:left w:val="single" w:sz="4" w:space="0" w:color="auto"/>
            </w:tcBorders>
          </w:tcPr>
          <w:p w14:paraId="58A16769"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43090388" w14:textId="77777777" w:rsidR="00BE1599" w:rsidRPr="005C203E" w:rsidRDefault="00BE1599" w:rsidP="00BE1599">
            <w:pPr>
              <w:widowControl w:val="0"/>
              <w:autoSpaceDE w:val="0"/>
              <w:autoSpaceDN w:val="0"/>
              <w:spacing w:before="40" w:after="40"/>
              <w:rPr>
                <w:rFonts w:ascii="Arial" w:eastAsia="Arial" w:hAnsi="Arial" w:cs="Arial"/>
                <w:sz w:val="18"/>
              </w:rPr>
            </w:pPr>
            <w:r w:rsidRPr="005C203E">
              <w:rPr>
                <w:rFonts w:ascii="Arial" w:eastAsia="Arial" w:hAnsi="Arial" w:cs="Arial"/>
                <w:sz w:val="18"/>
              </w:rPr>
              <w:t>Printing and publishing including print shops and miscellaneous commercial printing</w:t>
            </w:r>
          </w:p>
        </w:tc>
        <w:tc>
          <w:tcPr>
            <w:tcW w:w="649" w:type="pct"/>
            <w:tcBorders>
              <w:top w:val="single" w:sz="4" w:space="0" w:color="auto"/>
              <w:bottom w:val="single" w:sz="4" w:space="0" w:color="auto"/>
            </w:tcBorders>
          </w:tcPr>
          <w:p w14:paraId="4BD950D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2711 through 2771, 2782</w:t>
            </w:r>
          </w:p>
        </w:tc>
        <w:tc>
          <w:tcPr>
            <w:tcW w:w="649" w:type="pct"/>
            <w:tcBorders>
              <w:top w:val="single" w:sz="4" w:space="0" w:color="auto"/>
              <w:bottom w:val="single" w:sz="4" w:space="0" w:color="auto"/>
            </w:tcBorders>
          </w:tcPr>
          <w:p w14:paraId="6AFE6F0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313310, 32311x, 5111xx, 51223x, 561439, 81292x</w:t>
            </w:r>
          </w:p>
        </w:tc>
        <w:tc>
          <w:tcPr>
            <w:tcW w:w="1301" w:type="pct"/>
            <w:tcBorders>
              <w:top w:val="single" w:sz="4" w:space="0" w:color="auto"/>
              <w:bottom w:val="single" w:sz="4" w:space="0" w:color="auto"/>
              <w:right w:val="single" w:sz="12" w:space="0" w:color="auto"/>
            </w:tcBorders>
          </w:tcPr>
          <w:p w14:paraId="1D3000BB" w14:textId="77777777" w:rsidR="00813800" w:rsidRPr="005C203E" w:rsidRDefault="00BE1599" w:rsidP="00813800">
            <w:pPr>
              <w:spacing w:after="240"/>
              <w:rPr>
                <w:rFonts w:ascii="Arial" w:eastAsia="Arial" w:hAnsi="Arial" w:cs="Arial"/>
                <w:sz w:val="18"/>
              </w:rPr>
            </w:pPr>
            <w:r w:rsidRPr="005C203E">
              <w:rPr>
                <w:rFonts w:ascii="Arial" w:eastAsia="Arial" w:hAnsi="Arial" w:cs="Arial"/>
                <w:sz w:val="18"/>
              </w:rPr>
              <w:t>Use of graphic arts materials with no isocyanates: Annual average of 2 gallons per day</w:t>
            </w:r>
            <w:r w:rsidR="00813800" w:rsidRPr="005C203E">
              <w:rPr>
                <w:rFonts w:ascii="Arial" w:eastAsia="Arial" w:hAnsi="Arial" w:cs="Arial"/>
                <w:sz w:val="18"/>
              </w:rPr>
              <w:t>.</w:t>
            </w:r>
          </w:p>
          <w:p w14:paraId="18F01B21" w14:textId="7394593A"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graphic arts materials with isocyanates: Annual average of 0.5 gallons per day.</w:t>
            </w:r>
          </w:p>
        </w:tc>
      </w:tr>
      <w:tr w:rsidR="00BE1599" w:rsidRPr="00BE1599" w14:paraId="1B4285F8" w14:textId="77777777" w:rsidTr="00BE1599">
        <w:trPr>
          <w:cantSplit/>
          <w:trHeight w:val="504"/>
        </w:trPr>
        <w:tc>
          <w:tcPr>
            <w:tcW w:w="301" w:type="pct"/>
            <w:tcBorders>
              <w:left w:val="single" w:sz="12" w:space="0" w:color="auto"/>
              <w:right w:val="single" w:sz="4" w:space="0" w:color="auto"/>
            </w:tcBorders>
          </w:tcPr>
          <w:p w14:paraId="10BB39E4"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19</w:t>
            </w:r>
          </w:p>
        </w:tc>
        <w:tc>
          <w:tcPr>
            <w:tcW w:w="301" w:type="pct"/>
            <w:tcBorders>
              <w:top w:val="single" w:sz="4" w:space="0" w:color="auto"/>
              <w:left w:val="single" w:sz="4" w:space="0" w:color="auto"/>
            </w:tcBorders>
          </w:tcPr>
          <w:p w14:paraId="79A89DDE"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54BD36C6" w14:textId="56A8DBB5" w:rsidR="00BE1599" w:rsidRPr="005C203E" w:rsidRDefault="00BE1599" w:rsidP="00BE1599">
            <w:pPr>
              <w:widowControl w:val="0"/>
              <w:autoSpaceDE w:val="0"/>
              <w:autoSpaceDN w:val="0"/>
              <w:spacing w:before="40" w:after="40"/>
              <w:rPr>
                <w:rFonts w:ascii="Arial" w:eastAsia="Arial" w:hAnsi="Arial" w:cs="Arial"/>
                <w:sz w:val="18"/>
              </w:rPr>
            </w:pPr>
            <w:r w:rsidRPr="005C203E">
              <w:rPr>
                <w:rFonts w:ascii="Arial" w:eastAsia="Arial" w:hAnsi="Arial" w:cs="Arial"/>
                <w:sz w:val="18"/>
              </w:rPr>
              <w:t xml:space="preserve">Hazardous waste treatment, storage, disposal and </w:t>
            </w:r>
            <w:r w:rsidRPr="005C203E">
              <w:rPr>
                <w:rFonts w:ascii="Arial" w:eastAsia="Arial" w:hAnsi="Arial" w:cs="Arial"/>
                <w:sz w:val="18"/>
                <w:szCs w:val="18"/>
              </w:rPr>
              <w:t xml:space="preserve">recycling at a hazardous waste treatment, storage, </w:t>
            </w:r>
            <w:proofErr w:type="gramStart"/>
            <w:r w:rsidRPr="005C203E">
              <w:rPr>
                <w:rFonts w:ascii="Arial" w:eastAsia="Arial" w:hAnsi="Arial" w:cs="Arial"/>
                <w:sz w:val="18"/>
                <w:szCs w:val="18"/>
              </w:rPr>
              <w:t>disposal</w:t>
            </w:r>
            <w:proofErr w:type="gramEnd"/>
            <w:r w:rsidRPr="005C203E">
              <w:rPr>
                <w:rFonts w:ascii="Arial" w:eastAsia="Arial" w:hAnsi="Arial" w:cs="Arial"/>
                <w:sz w:val="18"/>
                <w:szCs w:val="18"/>
              </w:rPr>
              <w:t xml:space="preserve"> and recycling facility</w:t>
            </w:r>
            <w:r w:rsidR="00AC532C" w:rsidRPr="005C203E">
              <w:rPr>
                <w:rStyle w:val="FootnoteReference"/>
                <w:rFonts w:ascii="Arial" w:eastAsia="Arial" w:hAnsi="Arial" w:cs="Arial"/>
                <w:sz w:val="18"/>
                <w:szCs w:val="18"/>
              </w:rPr>
              <w:footnoteReference w:id="1"/>
            </w:r>
            <w:r w:rsidRPr="005C203E">
              <w:rPr>
                <w:rFonts w:ascii="Arial" w:eastAsia="Arial" w:hAnsi="Arial" w:cs="Arial"/>
                <w:sz w:val="18"/>
                <w:szCs w:val="18"/>
              </w:rPr>
              <w:t xml:space="preserve"> </w:t>
            </w:r>
          </w:p>
        </w:tc>
        <w:tc>
          <w:tcPr>
            <w:tcW w:w="649" w:type="pct"/>
            <w:tcBorders>
              <w:top w:val="single" w:sz="4" w:space="0" w:color="auto"/>
              <w:bottom w:val="single" w:sz="4" w:space="0" w:color="auto"/>
            </w:tcBorders>
          </w:tcPr>
          <w:p w14:paraId="79EB1DC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4BE2189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3BD5FC7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1B1D09E" w14:textId="77777777" w:rsidTr="00BE1599">
        <w:trPr>
          <w:cantSplit/>
          <w:trHeight w:val="504"/>
        </w:trPr>
        <w:tc>
          <w:tcPr>
            <w:tcW w:w="301" w:type="pct"/>
            <w:tcBorders>
              <w:left w:val="single" w:sz="12" w:space="0" w:color="auto"/>
              <w:right w:val="single" w:sz="4" w:space="0" w:color="auto"/>
            </w:tcBorders>
          </w:tcPr>
          <w:p w14:paraId="621A4BC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20</w:t>
            </w:r>
          </w:p>
        </w:tc>
        <w:tc>
          <w:tcPr>
            <w:tcW w:w="301" w:type="pct"/>
            <w:tcBorders>
              <w:top w:val="single" w:sz="4" w:space="0" w:color="auto"/>
              <w:left w:val="single" w:sz="4" w:space="0" w:color="auto"/>
            </w:tcBorders>
          </w:tcPr>
          <w:p w14:paraId="25DA7647"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48F838DD" w14:textId="77777777" w:rsidR="00BE1599" w:rsidRPr="005C203E" w:rsidRDefault="00BE1599" w:rsidP="00BE1599">
            <w:pPr>
              <w:widowControl w:val="0"/>
              <w:autoSpaceDE w:val="0"/>
              <w:autoSpaceDN w:val="0"/>
              <w:spacing w:before="40" w:after="40"/>
              <w:rPr>
                <w:rFonts w:ascii="Arial" w:eastAsia="Arial" w:hAnsi="Arial" w:cs="Arial"/>
                <w:sz w:val="18"/>
              </w:rPr>
            </w:pPr>
            <w:r w:rsidRPr="005C203E">
              <w:rPr>
                <w:rFonts w:ascii="Arial" w:eastAsia="Arial" w:hAnsi="Arial" w:cs="Arial"/>
                <w:sz w:val="18"/>
                <w:szCs w:val="18"/>
              </w:rPr>
              <w:t>Welding, laser cutting and plasma cutting of metal materials</w:t>
            </w:r>
          </w:p>
        </w:tc>
        <w:tc>
          <w:tcPr>
            <w:tcW w:w="649" w:type="pct"/>
            <w:tcBorders>
              <w:top w:val="single" w:sz="4" w:space="0" w:color="auto"/>
              <w:bottom w:val="single" w:sz="4" w:space="0" w:color="auto"/>
            </w:tcBorders>
          </w:tcPr>
          <w:p w14:paraId="75AA638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1799, 3356, 3496, 3541, 3542, 3544 3548, 3699, 7692, </w:t>
            </w:r>
          </w:p>
        </w:tc>
        <w:tc>
          <w:tcPr>
            <w:tcW w:w="649" w:type="pct"/>
            <w:tcBorders>
              <w:top w:val="single" w:sz="4" w:space="0" w:color="auto"/>
              <w:bottom w:val="single" w:sz="4" w:space="0" w:color="auto"/>
            </w:tcBorders>
          </w:tcPr>
          <w:p w14:paraId="24B92BC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325998, 331491, 332313, 333514, 333517, 333922, 335311, 811310, </w:t>
            </w:r>
          </w:p>
        </w:tc>
        <w:tc>
          <w:tcPr>
            <w:tcW w:w="1301" w:type="pct"/>
            <w:tcBorders>
              <w:top w:val="single" w:sz="4" w:space="0" w:color="auto"/>
              <w:bottom w:val="single" w:sz="4" w:space="0" w:color="auto"/>
              <w:right w:val="single" w:sz="12" w:space="0" w:color="auto"/>
            </w:tcBorders>
          </w:tcPr>
          <w:p w14:paraId="6ED237C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0B2108F6" w14:textId="77777777" w:rsidTr="00BE1599">
        <w:trPr>
          <w:cantSplit/>
          <w:trHeight w:val="504"/>
        </w:trPr>
        <w:tc>
          <w:tcPr>
            <w:tcW w:w="301" w:type="pct"/>
            <w:tcBorders>
              <w:left w:val="single" w:sz="12" w:space="0" w:color="auto"/>
              <w:right w:val="single" w:sz="4" w:space="0" w:color="auto"/>
            </w:tcBorders>
          </w:tcPr>
          <w:p w14:paraId="6D9CE748"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21</w:t>
            </w:r>
          </w:p>
        </w:tc>
        <w:tc>
          <w:tcPr>
            <w:tcW w:w="301" w:type="pct"/>
            <w:tcBorders>
              <w:left w:val="single" w:sz="4" w:space="0" w:color="auto"/>
            </w:tcBorders>
          </w:tcPr>
          <w:p w14:paraId="3761A39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37CE1AE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Construction aggregate </w:t>
            </w:r>
            <w:proofErr w:type="gramStart"/>
            <w:r w:rsidRPr="005C203E">
              <w:rPr>
                <w:rFonts w:ascii="Arial" w:eastAsia="Arial" w:hAnsi="Arial" w:cs="Arial"/>
                <w:sz w:val="18"/>
              </w:rPr>
              <w:t>processing, if</w:t>
            </w:r>
            <w:proofErr w:type="gramEnd"/>
            <w:r w:rsidRPr="005C203E">
              <w:rPr>
                <w:rFonts w:ascii="Arial" w:eastAsia="Arial" w:hAnsi="Arial" w:cs="Arial"/>
                <w:sz w:val="18"/>
              </w:rPr>
              <w:t xml:space="preserve"> asphalt products are also used or produced</w:t>
            </w:r>
          </w:p>
        </w:tc>
        <w:tc>
          <w:tcPr>
            <w:tcW w:w="649" w:type="pct"/>
            <w:tcBorders>
              <w:top w:val="single" w:sz="4" w:space="0" w:color="auto"/>
              <w:bottom w:val="single" w:sz="4" w:space="0" w:color="auto"/>
            </w:tcBorders>
          </w:tcPr>
          <w:p w14:paraId="78EA95C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1442 through 1446</w:t>
            </w:r>
          </w:p>
        </w:tc>
        <w:tc>
          <w:tcPr>
            <w:tcW w:w="649" w:type="pct"/>
            <w:tcBorders>
              <w:top w:val="single" w:sz="4" w:space="0" w:color="auto"/>
              <w:bottom w:val="single" w:sz="4" w:space="0" w:color="auto"/>
            </w:tcBorders>
          </w:tcPr>
          <w:p w14:paraId="5A803A1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212321 and 212322</w:t>
            </w:r>
          </w:p>
        </w:tc>
        <w:tc>
          <w:tcPr>
            <w:tcW w:w="1301" w:type="pct"/>
            <w:tcBorders>
              <w:top w:val="single" w:sz="4" w:space="0" w:color="auto"/>
              <w:bottom w:val="single" w:sz="4" w:space="0" w:color="auto"/>
              <w:right w:val="single" w:sz="12" w:space="0" w:color="auto"/>
            </w:tcBorders>
          </w:tcPr>
          <w:p w14:paraId="0442A0D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4C27316A" w14:textId="77777777" w:rsidTr="00BE1599">
        <w:trPr>
          <w:cantSplit/>
          <w:trHeight w:val="504"/>
        </w:trPr>
        <w:tc>
          <w:tcPr>
            <w:tcW w:w="301" w:type="pct"/>
            <w:tcBorders>
              <w:left w:val="single" w:sz="12" w:space="0" w:color="auto"/>
              <w:right w:val="single" w:sz="4" w:space="0" w:color="auto"/>
            </w:tcBorders>
          </w:tcPr>
          <w:p w14:paraId="0D618955"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22</w:t>
            </w:r>
          </w:p>
        </w:tc>
        <w:tc>
          <w:tcPr>
            <w:tcW w:w="301" w:type="pct"/>
            <w:tcBorders>
              <w:left w:val="single" w:sz="4" w:space="0" w:color="auto"/>
            </w:tcBorders>
          </w:tcPr>
          <w:p w14:paraId="71DE2BB0"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733EE66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Chemicals and allied products manufacturing</w:t>
            </w:r>
          </w:p>
        </w:tc>
        <w:tc>
          <w:tcPr>
            <w:tcW w:w="649" w:type="pct"/>
            <w:tcBorders>
              <w:top w:val="single" w:sz="4" w:space="0" w:color="auto"/>
              <w:bottom w:val="single" w:sz="4" w:space="0" w:color="auto"/>
            </w:tcBorders>
          </w:tcPr>
          <w:p w14:paraId="4F1A448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2812 through 2899</w:t>
            </w:r>
          </w:p>
        </w:tc>
        <w:tc>
          <w:tcPr>
            <w:tcW w:w="649" w:type="pct"/>
            <w:tcBorders>
              <w:top w:val="single" w:sz="4" w:space="0" w:color="auto"/>
              <w:bottom w:val="single" w:sz="4" w:space="0" w:color="auto"/>
            </w:tcBorders>
          </w:tcPr>
          <w:p w14:paraId="3DC2D42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211112, 311942, 331311, 325xxx</w:t>
            </w:r>
          </w:p>
        </w:tc>
        <w:tc>
          <w:tcPr>
            <w:tcW w:w="1301" w:type="pct"/>
            <w:tcBorders>
              <w:top w:val="single" w:sz="4" w:space="0" w:color="auto"/>
              <w:bottom w:val="single" w:sz="4" w:space="0" w:color="auto"/>
              <w:right w:val="single" w:sz="12" w:space="0" w:color="auto"/>
            </w:tcBorders>
          </w:tcPr>
          <w:p w14:paraId="76523E2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5443F529" w14:textId="77777777" w:rsidTr="00BE1599">
        <w:trPr>
          <w:cantSplit/>
          <w:trHeight w:val="504"/>
        </w:trPr>
        <w:tc>
          <w:tcPr>
            <w:tcW w:w="301" w:type="pct"/>
            <w:tcBorders>
              <w:top w:val="single" w:sz="4" w:space="0" w:color="auto"/>
              <w:left w:val="single" w:sz="12" w:space="0" w:color="auto"/>
              <w:right w:val="single" w:sz="4" w:space="0" w:color="auto"/>
            </w:tcBorders>
          </w:tcPr>
          <w:p w14:paraId="169F81D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23</w:t>
            </w:r>
          </w:p>
        </w:tc>
        <w:tc>
          <w:tcPr>
            <w:tcW w:w="301" w:type="pct"/>
            <w:tcBorders>
              <w:left w:val="single" w:sz="4" w:space="0" w:color="auto"/>
            </w:tcBorders>
          </w:tcPr>
          <w:p w14:paraId="004579F1"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0463BBB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Bulk petroleum storage and loading, bulk benzene storage and loading, and related wholesalers</w:t>
            </w:r>
          </w:p>
        </w:tc>
        <w:tc>
          <w:tcPr>
            <w:tcW w:w="649" w:type="pct"/>
            <w:tcBorders>
              <w:top w:val="single" w:sz="4" w:space="0" w:color="auto"/>
              <w:bottom w:val="single" w:sz="4" w:space="0" w:color="auto"/>
            </w:tcBorders>
          </w:tcPr>
          <w:p w14:paraId="01241E1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5171, 5172</w:t>
            </w:r>
          </w:p>
        </w:tc>
        <w:tc>
          <w:tcPr>
            <w:tcW w:w="649" w:type="pct"/>
            <w:tcBorders>
              <w:top w:val="single" w:sz="4" w:space="0" w:color="auto"/>
              <w:bottom w:val="single" w:sz="4" w:space="0" w:color="auto"/>
            </w:tcBorders>
          </w:tcPr>
          <w:p w14:paraId="61A22CD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4247xx</w:t>
            </w:r>
          </w:p>
        </w:tc>
        <w:tc>
          <w:tcPr>
            <w:tcW w:w="1301" w:type="pct"/>
            <w:tcBorders>
              <w:top w:val="single" w:sz="4" w:space="0" w:color="auto"/>
              <w:bottom w:val="single" w:sz="4" w:space="0" w:color="auto"/>
              <w:right w:val="single" w:sz="12" w:space="0" w:color="auto"/>
            </w:tcBorders>
          </w:tcPr>
          <w:p w14:paraId="259EB2F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505E088" w14:textId="77777777" w:rsidTr="00BE1599">
        <w:trPr>
          <w:cantSplit/>
          <w:trHeight w:val="504"/>
        </w:trPr>
        <w:tc>
          <w:tcPr>
            <w:tcW w:w="301" w:type="pct"/>
            <w:tcBorders>
              <w:left w:val="single" w:sz="12" w:space="0" w:color="auto"/>
              <w:right w:val="single" w:sz="4" w:space="0" w:color="auto"/>
            </w:tcBorders>
          </w:tcPr>
          <w:p w14:paraId="4E20FA6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24</w:t>
            </w:r>
          </w:p>
        </w:tc>
        <w:tc>
          <w:tcPr>
            <w:tcW w:w="301" w:type="pct"/>
            <w:tcBorders>
              <w:left w:val="single" w:sz="4" w:space="0" w:color="auto"/>
            </w:tcBorders>
          </w:tcPr>
          <w:p w14:paraId="62338A26"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6E47C53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Polybrominated biphenyl compounds (PBBs), and any brominated diphenyl ethers, </w:t>
            </w:r>
            <w:proofErr w:type="gramStart"/>
            <w:r w:rsidRPr="005C203E">
              <w:rPr>
                <w:rFonts w:ascii="Arial" w:eastAsia="Arial" w:hAnsi="Arial" w:cs="Arial"/>
                <w:sz w:val="18"/>
              </w:rPr>
              <w:t>manufacture</w:t>
            </w:r>
            <w:proofErr w:type="gramEnd"/>
            <w:r w:rsidRPr="005C203E">
              <w:rPr>
                <w:rFonts w:ascii="Arial" w:eastAsia="Arial" w:hAnsi="Arial" w:cs="Arial"/>
                <w:sz w:val="18"/>
              </w:rPr>
              <w:t xml:space="preserve"> or use </w:t>
            </w:r>
          </w:p>
        </w:tc>
        <w:tc>
          <w:tcPr>
            <w:tcW w:w="649" w:type="pct"/>
            <w:tcBorders>
              <w:top w:val="single" w:sz="4" w:space="0" w:color="auto"/>
              <w:bottom w:val="single" w:sz="4" w:space="0" w:color="auto"/>
            </w:tcBorders>
          </w:tcPr>
          <w:p w14:paraId="5266DBE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Any</w:t>
            </w:r>
          </w:p>
        </w:tc>
        <w:tc>
          <w:tcPr>
            <w:tcW w:w="649" w:type="pct"/>
            <w:tcBorders>
              <w:top w:val="single" w:sz="4" w:space="0" w:color="auto"/>
              <w:bottom w:val="single" w:sz="4" w:space="0" w:color="auto"/>
            </w:tcBorders>
          </w:tcPr>
          <w:p w14:paraId="4F0E000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szCs w:val="18"/>
              </w:rPr>
              <w:t>Any</w:t>
            </w:r>
          </w:p>
        </w:tc>
        <w:tc>
          <w:tcPr>
            <w:tcW w:w="1301" w:type="pct"/>
            <w:tcBorders>
              <w:top w:val="single" w:sz="4" w:space="0" w:color="auto"/>
              <w:bottom w:val="single" w:sz="4" w:space="0" w:color="auto"/>
              <w:right w:val="single" w:sz="12" w:space="0" w:color="auto"/>
            </w:tcBorders>
          </w:tcPr>
          <w:p w14:paraId="6725179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2A1776B1" w14:textId="77777777" w:rsidTr="00BE1599">
        <w:trPr>
          <w:cantSplit/>
          <w:trHeight w:val="504"/>
        </w:trPr>
        <w:tc>
          <w:tcPr>
            <w:tcW w:w="301" w:type="pct"/>
            <w:tcBorders>
              <w:left w:val="single" w:sz="12" w:space="0" w:color="auto"/>
              <w:right w:val="single" w:sz="4" w:space="0" w:color="auto"/>
            </w:tcBorders>
          </w:tcPr>
          <w:p w14:paraId="1D83867E"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25</w:t>
            </w:r>
          </w:p>
        </w:tc>
        <w:tc>
          <w:tcPr>
            <w:tcW w:w="301" w:type="pct"/>
            <w:tcBorders>
              <w:top w:val="single" w:sz="4" w:space="0" w:color="auto"/>
              <w:left w:val="single" w:sz="4" w:space="0" w:color="auto"/>
            </w:tcBorders>
          </w:tcPr>
          <w:p w14:paraId="59CB5561"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6897609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Use of ethylene oxide for sterilization</w:t>
            </w:r>
          </w:p>
        </w:tc>
        <w:tc>
          <w:tcPr>
            <w:tcW w:w="649" w:type="pct"/>
            <w:tcBorders>
              <w:top w:val="single" w:sz="4" w:space="0" w:color="auto"/>
              <w:bottom w:val="single" w:sz="4" w:space="0" w:color="auto"/>
            </w:tcBorders>
          </w:tcPr>
          <w:p w14:paraId="1262B3A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6F935CE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03608D4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31DCD90B" w14:textId="77777777" w:rsidTr="00BE1599">
        <w:trPr>
          <w:cantSplit/>
          <w:trHeight w:val="504"/>
        </w:trPr>
        <w:tc>
          <w:tcPr>
            <w:tcW w:w="301" w:type="pct"/>
            <w:tcBorders>
              <w:left w:val="single" w:sz="12" w:space="0" w:color="auto"/>
              <w:right w:val="single" w:sz="4" w:space="0" w:color="auto"/>
            </w:tcBorders>
          </w:tcPr>
          <w:p w14:paraId="61311EBE"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26</w:t>
            </w:r>
          </w:p>
        </w:tc>
        <w:tc>
          <w:tcPr>
            <w:tcW w:w="301" w:type="pct"/>
            <w:tcBorders>
              <w:left w:val="single" w:sz="4" w:space="0" w:color="auto"/>
            </w:tcBorders>
          </w:tcPr>
          <w:p w14:paraId="347552F0"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13FB9AF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Leather and hide tanning and finishing, </w:t>
            </w:r>
            <w:proofErr w:type="gramStart"/>
            <w:r w:rsidRPr="005C203E">
              <w:rPr>
                <w:rFonts w:ascii="Arial" w:eastAsia="Arial" w:hAnsi="Arial" w:cs="Arial"/>
                <w:sz w:val="18"/>
              </w:rPr>
              <w:t>processing</w:t>
            </w:r>
            <w:proofErr w:type="gramEnd"/>
            <w:r w:rsidRPr="005C203E">
              <w:rPr>
                <w:rFonts w:ascii="Arial" w:eastAsia="Arial" w:hAnsi="Arial" w:cs="Arial"/>
                <w:sz w:val="18"/>
              </w:rPr>
              <w:t xml:space="preserve"> and fabricated goods</w:t>
            </w:r>
          </w:p>
        </w:tc>
        <w:tc>
          <w:tcPr>
            <w:tcW w:w="649" w:type="pct"/>
            <w:tcBorders>
              <w:top w:val="single" w:sz="4" w:space="0" w:color="auto"/>
              <w:bottom w:val="single" w:sz="4" w:space="0" w:color="auto"/>
            </w:tcBorders>
          </w:tcPr>
          <w:p w14:paraId="36744D5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3111</w:t>
            </w:r>
          </w:p>
        </w:tc>
        <w:tc>
          <w:tcPr>
            <w:tcW w:w="649" w:type="pct"/>
            <w:tcBorders>
              <w:top w:val="single" w:sz="4" w:space="0" w:color="auto"/>
              <w:bottom w:val="single" w:sz="4" w:space="0" w:color="auto"/>
            </w:tcBorders>
          </w:tcPr>
          <w:p w14:paraId="26C8067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316110</w:t>
            </w:r>
          </w:p>
        </w:tc>
        <w:tc>
          <w:tcPr>
            <w:tcW w:w="1301" w:type="pct"/>
            <w:tcBorders>
              <w:top w:val="single" w:sz="4" w:space="0" w:color="auto"/>
              <w:bottom w:val="single" w:sz="4" w:space="0" w:color="auto"/>
              <w:right w:val="single" w:sz="12" w:space="0" w:color="auto"/>
            </w:tcBorders>
          </w:tcPr>
          <w:p w14:paraId="62AD6A8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7F11EAFB" w14:textId="77777777" w:rsidTr="00BE1599">
        <w:trPr>
          <w:cantSplit/>
          <w:trHeight w:val="504"/>
        </w:trPr>
        <w:tc>
          <w:tcPr>
            <w:tcW w:w="301" w:type="pct"/>
            <w:tcBorders>
              <w:top w:val="single" w:sz="4" w:space="0" w:color="auto"/>
              <w:left w:val="single" w:sz="12" w:space="0" w:color="auto"/>
              <w:right w:val="single" w:sz="4" w:space="0" w:color="auto"/>
            </w:tcBorders>
          </w:tcPr>
          <w:p w14:paraId="007F5B95"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27</w:t>
            </w:r>
          </w:p>
        </w:tc>
        <w:tc>
          <w:tcPr>
            <w:tcW w:w="301" w:type="pct"/>
            <w:tcBorders>
              <w:left w:val="single" w:sz="4" w:space="0" w:color="auto"/>
            </w:tcBorders>
          </w:tcPr>
          <w:p w14:paraId="30E91BC7"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79DB610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Retail sale of gasoline</w:t>
            </w:r>
          </w:p>
        </w:tc>
        <w:tc>
          <w:tcPr>
            <w:tcW w:w="649" w:type="pct"/>
            <w:tcBorders>
              <w:top w:val="single" w:sz="4" w:space="0" w:color="auto"/>
              <w:bottom w:val="single" w:sz="4" w:space="0" w:color="auto"/>
            </w:tcBorders>
          </w:tcPr>
          <w:p w14:paraId="7027518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2F6F9EC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682C1AE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25,000 gallons of gasoline sold per year</w:t>
            </w:r>
          </w:p>
        </w:tc>
      </w:tr>
      <w:tr w:rsidR="00BE1599" w:rsidRPr="00BE1599" w14:paraId="55B33F9C" w14:textId="77777777" w:rsidTr="00BE1599">
        <w:trPr>
          <w:cantSplit/>
          <w:trHeight w:val="504"/>
        </w:trPr>
        <w:tc>
          <w:tcPr>
            <w:tcW w:w="301" w:type="pct"/>
            <w:tcBorders>
              <w:top w:val="single" w:sz="4" w:space="0" w:color="auto"/>
              <w:left w:val="single" w:sz="12" w:space="0" w:color="auto"/>
              <w:right w:val="single" w:sz="4" w:space="0" w:color="auto"/>
            </w:tcBorders>
          </w:tcPr>
          <w:p w14:paraId="6D70AD2C"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28</w:t>
            </w:r>
          </w:p>
        </w:tc>
        <w:tc>
          <w:tcPr>
            <w:tcW w:w="301" w:type="pct"/>
            <w:tcBorders>
              <w:left w:val="single" w:sz="4" w:space="0" w:color="auto"/>
            </w:tcBorders>
          </w:tcPr>
          <w:p w14:paraId="16B052E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0569C47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Auto body repair and coating operations at auto body shops, including new and used car dealers </w:t>
            </w:r>
          </w:p>
        </w:tc>
        <w:tc>
          <w:tcPr>
            <w:tcW w:w="649" w:type="pct"/>
            <w:tcBorders>
              <w:top w:val="single" w:sz="4" w:space="0" w:color="auto"/>
              <w:bottom w:val="single" w:sz="4" w:space="0" w:color="auto"/>
            </w:tcBorders>
          </w:tcPr>
          <w:p w14:paraId="45A19F9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5511 through 5521, 7531, 7532, 7535</w:t>
            </w:r>
          </w:p>
        </w:tc>
        <w:tc>
          <w:tcPr>
            <w:tcW w:w="649" w:type="pct"/>
            <w:tcBorders>
              <w:top w:val="single" w:sz="4" w:space="0" w:color="auto"/>
              <w:bottom w:val="single" w:sz="4" w:space="0" w:color="auto"/>
            </w:tcBorders>
          </w:tcPr>
          <w:p w14:paraId="6474C98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4411xx, 44121x, 441228, 44131x, 811111, 811121</w:t>
            </w:r>
          </w:p>
        </w:tc>
        <w:tc>
          <w:tcPr>
            <w:tcW w:w="1301" w:type="pct"/>
            <w:tcBorders>
              <w:top w:val="single" w:sz="4" w:space="0" w:color="auto"/>
              <w:bottom w:val="single" w:sz="4" w:space="0" w:color="auto"/>
              <w:right w:val="single" w:sz="12" w:space="0" w:color="auto"/>
            </w:tcBorders>
          </w:tcPr>
          <w:p w14:paraId="6F63760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50 gallons of paint used per year</w:t>
            </w:r>
          </w:p>
        </w:tc>
      </w:tr>
      <w:tr w:rsidR="00BE1599" w:rsidRPr="00BE1599" w14:paraId="2F9EFC4F" w14:textId="77777777" w:rsidTr="00BE1599">
        <w:trPr>
          <w:cantSplit/>
          <w:trHeight w:val="504"/>
        </w:trPr>
        <w:tc>
          <w:tcPr>
            <w:tcW w:w="301" w:type="pct"/>
            <w:tcBorders>
              <w:top w:val="single" w:sz="4" w:space="0" w:color="auto"/>
              <w:left w:val="single" w:sz="12" w:space="0" w:color="auto"/>
              <w:right w:val="single" w:sz="4" w:space="0" w:color="auto"/>
            </w:tcBorders>
          </w:tcPr>
          <w:p w14:paraId="589C1A83"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29</w:t>
            </w:r>
          </w:p>
        </w:tc>
        <w:tc>
          <w:tcPr>
            <w:tcW w:w="301" w:type="pct"/>
            <w:tcBorders>
              <w:left w:val="single" w:sz="4" w:space="0" w:color="auto"/>
            </w:tcBorders>
          </w:tcPr>
          <w:p w14:paraId="77B2016F"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02EDE41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Medical services, hospitals, and related facilities which use formaldehyde (or formalin), glutaraldehyde, ethylene oxide, or diesel engines</w:t>
            </w:r>
          </w:p>
        </w:tc>
        <w:tc>
          <w:tcPr>
            <w:tcW w:w="649" w:type="pct"/>
            <w:tcBorders>
              <w:top w:val="single" w:sz="4" w:space="0" w:color="auto"/>
              <w:bottom w:val="single" w:sz="4" w:space="0" w:color="auto"/>
            </w:tcBorders>
          </w:tcPr>
          <w:p w14:paraId="7B549F1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8011 through 8099</w:t>
            </w:r>
          </w:p>
        </w:tc>
        <w:tc>
          <w:tcPr>
            <w:tcW w:w="649" w:type="pct"/>
            <w:tcBorders>
              <w:top w:val="single" w:sz="4" w:space="0" w:color="auto"/>
              <w:bottom w:val="single" w:sz="4" w:space="0" w:color="auto"/>
            </w:tcBorders>
          </w:tcPr>
          <w:p w14:paraId="786954C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62xxxx</w:t>
            </w:r>
          </w:p>
        </w:tc>
        <w:tc>
          <w:tcPr>
            <w:tcW w:w="1301" w:type="pct"/>
            <w:tcBorders>
              <w:top w:val="single" w:sz="4" w:space="0" w:color="auto"/>
              <w:bottom w:val="single" w:sz="4" w:space="0" w:color="auto"/>
              <w:right w:val="single" w:sz="12" w:space="0" w:color="auto"/>
            </w:tcBorders>
          </w:tcPr>
          <w:p w14:paraId="7BE587FD" w14:textId="41E2FA1F"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 xml:space="preserve">110 pounds of formaldehyde emitted per year, or 110 pounds of glutaraldehyde emitted per year, or </w:t>
            </w:r>
            <w:r w:rsidR="009625F9" w:rsidRPr="005C203E">
              <w:rPr>
                <w:rFonts w:ascii="Arial" w:eastAsia="Arial" w:hAnsi="Arial" w:cs="Arial"/>
                <w:sz w:val="18"/>
              </w:rPr>
              <w:t>any use</w:t>
            </w:r>
            <w:r w:rsidRPr="005C203E">
              <w:rPr>
                <w:rFonts w:ascii="Arial" w:eastAsia="Arial" w:hAnsi="Arial" w:cs="Arial"/>
                <w:sz w:val="18"/>
              </w:rPr>
              <w:t xml:space="preserve"> of ethylene oxide, or 30 gallons of diesel fuel burned or 5 hours of engine </w:t>
            </w:r>
            <w:r w:rsidR="00917F26" w:rsidRPr="005C203E">
              <w:rPr>
                <w:rFonts w:ascii="Arial" w:eastAsia="Arial" w:hAnsi="Arial" w:cs="Arial"/>
                <w:sz w:val="18"/>
              </w:rPr>
              <w:t xml:space="preserve">non-emergency </w:t>
            </w:r>
            <w:r w:rsidRPr="005C203E">
              <w:rPr>
                <w:rFonts w:ascii="Arial" w:eastAsia="Arial" w:hAnsi="Arial" w:cs="Arial"/>
                <w:sz w:val="18"/>
              </w:rPr>
              <w:t>operation per year.</w:t>
            </w:r>
          </w:p>
        </w:tc>
      </w:tr>
      <w:tr w:rsidR="00BE1599" w:rsidRPr="00BE1599" w14:paraId="6013E297" w14:textId="77777777" w:rsidTr="00BE1599">
        <w:trPr>
          <w:cantSplit/>
          <w:trHeight w:val="504"/>
        </w:trPr>
        <w:tc>
          <w:tcPr>
            <w:tcW w:w="301" w:type="pct"/>
            <w:tcBorders>
              <w:top w:val="single" w:sz="4" w:space="0" w:color="auto"/>
              <w:left w:val="single" w:sz="12" w:space="0" w:color="auto"/>
              <w:right w:val="single" w:sz="4" w:space="0" w:color="auto"/>
            </w:tcBorders>
          </w:tcPr>
          <w:p w14:paraId="685D16E2" w14:textId="553B23BD"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0</w:t>
            </w:r>
          </w:p>
        </w:tc>
        <w:tc>
          <w:tcPr>
            <w:tcW w:w="301" w:type="pct"/>
            <w:tcBorders>
              <w:top w:val="single" w:sz="4" w:space="0" w:color="auto"/>
              <w:left w:val="single" w:sz="4" w:space="0" w:color="auto"/>
            </w:tcBorders>
          </w:tcPr>
          <w:p w14:paraId="5643C4ED"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00E6965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Flat glass manufacturing</w:t>
            </w:r>
          </w:p>
        </w:tc>
        <w:tc>
          <w:tcPr>
            <w:tcW w:w="649" w:type="pct"/>
            <w:tcBorders>
              <w:top w:val="single" w:sz="4" w:space="0" w:color="auto"/>
              <w:bottom w:val="single" w:sz="4" w:space="0" w:color="auto"/>
            </w:tcBorders>
          </w:tcPr>
          <w:p w14:paraId="29230E3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3211</w:t>
            </w:r>
          </w:p>
        </w:tc>
        <w:tc>
          <w:tcPr>
            <w:tcW w:w="649" w:type="pct"/>
            <w:tcBorders>
              <w:top w:val="single" w:sz="4" w:space="0" w:color="auto"/>
              <w:bottom w:val="single" w:sz="4" w:space="0" w:color="auto"/>
            </w:tcBorders>
          </w:tcPr>
          <w:p w14:paraId="40E5B9D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327211</w:t>
            </w:r>
          </w:p>
        </w:tc>
        <w:tc>
          <w:tcPr>
            <w:tcW w:w="1301" w:type="pct"/>
            <w:tcBorders>
              <w:top w:val="single" w:sz="4" w:space="0" w:color="auto"/>
              <w:bottom w:val="single" w:sz="4" w:space="0" w:color="auto"/>
              <w:right w:val="single" w:sz="12" w:space="0" w:color="auto"/>
            </w:tcBorders>
          </w:tcPr>
          <w:p w14:paraId="48181CC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100 pounds of glass production</w:t>
            </w:r>
          </w:p>
        </w:tc>
      </w:tr>
      <w:tr w:rsidR="00BE1599" w:rsidRPr="00BE1599" w14:paraId="58FC2963" w14:textId="77777777" w:rsidTr="00BE1599">
        <w:trPr>
          <w:cantSplit/>
          <w:trHeight w:val="504"/>
        </w:trPr>
        <w:tc>
          <w:tcPr>
            <w:tcW w:w="301" w:type="pct"/>
            <w:tcBorders>
              <w:top w:val="single" w:sz="4" w:space="0" w:color="auto"/>
              <w:left w:val="single" w:sz="12" w:space="0" w:color="auto"/>
              <w:right w:val="single" w:sz="4" w:space="0" w:color="auto"/>
            </w:tcBorders>
          </w:tcPr>
          <w:p w14:paraId="75E8A9D2" w14:textId="58D6DEDA"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1</w:t>
            </w:r>
          </w:p>
        </w:tc>
        <w:tc>
          <w:tcPr>
            <w:tcW w:w="301" w:type="pct"/>
            <w:tcBorders>
              <w:top w:val="single" w:sz="4" w:space="0" w:color="auto"/>
              <w:left w:val="single" w:sz="4" w:space="0" w:color="auto"/>
            </w:tcBorders>
          </w:tcPr>
          <w:p w14:paraId="79C7DDDD"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03975BC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Pressed and blown glassware manufacturing</w:t>
            </w:r>
          </w:p>
        </w:tc>
        <w:tc>
          <w:tcPr>
            <w:tcW w:w="649" w:type="pct"/>
            <w:tcBorders>
              <w:top w:val="single" w:sz="4" w:space="0" w:color="auto"/>
              <w:bottom w:val="single" w:sz="4" w:space="0" w:color="auto"/>
            </w:tcBorders>
          </w:tcPr>
          <w:p w14:paraId="60A98C5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3229, 3221</w:t>
            </w:r>
          </w:p>
        </w:tc>
        <w:tc>
          <w:tcPr>
            <w:tcW w:w="649" w:type="pct"/>
            <w:tcBorders>
              <w:top w:val="single" w:sz="4" w:space="0" w:color="auto"/>
              <w:bottom w:val="single" w:sz="4" w:space="0" w:color="auto"/>
            </w:tcBorders>
          </w:tcPr>
          <w:p w14:paraId="63796FF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327212, 327213</w:t>
            </w:r>
          </w:p>
        </w:tc>
        <w:tc>
          <w:tcPr>
            <w:tcW w:w="1301" w:type="pct"/>
            <w:tcBorders>
              <w:top w:val="single" w:sz="4" w:space="0" w:color="auto"/>
              <w:bottom w:val="single" w:sz="4" w:space="0" w:color="auto"/>
              <w:right w:val="single" w:sz="12" w:space="0" w:color="auto"/>
            </w:tcBorders>
          </w:tcPr>
          <w:p w14:paraId="44C8734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100 pounds of glass production</w:t>
            </w:r>
          </w:p>
        </w:tc>
      </w:tr>
      <w:tr w:rsidR="00BE1599" w:rsidRPr="00BE1599" w14:paraId="1DAEEAE1" w14:textId="77777777" w:rsidTr="00BE1599">
        <w:trPr>
          <w:cantSplit/>
          <w:trHeight w:val="504"/>
        </w:trPr>
        <w:tc>
          <w:tcPr>
            <w:tcW w:w="301" w:type="pct"/>
            <w:tcBorders>
              <w:top w:val="single" w:sz="4" w:space="0" w:color="auto"/>
              <w:left w:val="single" w:sz="12" w:space="0" w:color="auto"/>
              <w:right w:val="single" w:sz="4" w:space="0" w:color="auto"/>
            </w:tcBorders>
          </w:tcPr>
          <w:p w14:paraId="5CCCA1B1" w14:textId="46303F31"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2</w:t>
            </w:r>
          </w:p>
        </w:tc>
        <w:tc>
          <w:tcPr>
            <w:tcW w:w="301" w:type="pct"/>
            <w:tcBorders>
              <w:top w:val="single" w:sz="4" w:space="0" w:color="auto"/>
              <w:left w:val="single" w:sz="4" w:space="0" w:color="auto"/>
            </w:tcBorders>
          </w:tcPr>
          <w:p w14:paraId="3163DE44"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2</w:t>
            </w:r>
          </w:p>
        </w:tc>
        <w:tc>
          <w:tcPr>
            <w:tcW w:w="1799" w:type="pct"/>
            <w:tcBorders>
              <w:top w:val="single" w:sz="4" w:space="0" w:color="auto"/>
              <w:bottom w:val="single" w:sz="4" w:space="0" w:color="auto"/>
            </w:tcBorders>
          </w:tcPr>
          <w:p w14:paraId="5F529DC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Clay ceramics manufacturing</w:t>
            </w:r>
          </w:p>
        </w:tc>
        <w:tc>
          <w:tcPr>
            <w:tcW w:w="649" w:type="pct"/>
            <w:tcBorders>
              <w:top w:val="single" w:sz="4" w:space="0" w:color="auto"/>
              <w:bottom w:val="single" w:sz="4" w:space="0" w:color="auto"/>
            </w:tcBorders>
          </w:tcPr>
          <w:p w14:paraId="7F7CF67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3253, 3261</w:t>
            </w:r>
          </w:p>
        </w:tc>
        <w:tc>
          <w:tcPr>
            <w:tcW w:w="649" w:type="pct"/>
            <w:tcBorders>
              <w:top w:val="single" w:sz="4" w:space="0" w:color="auto"/>
              <w:bottom w:val="single" w:sz="4" w:space="0" w:color="auto"/>
            </w:tcBorders>
          </w:tcPr>
          <w:p w14:paraId="7809605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327120, 327110</w:t>
            </w:r>
          </w:p>
        </w:tc>
        <w:tc>
          <w:tcPr>
            <w:tcW w:w="1301" w:type="pct"/>
            <w:tcBorders>
              <w:top w:val="single" w:sz="4" w:space="0" w:color="auto"/>
              <w:bottom w:val="single" w:sz="4" w:space="0" w:color="auto"/>
              <w:right w:val="single" w:sz="12" w:space="0" w:color="auto"/>
            </w:tcBorders>
          </w:tcPr>
          <w:p w14:paraId="1AC1F3B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 ton of product manufactured</w:t>
            </w:r>
          </w:p>
        </w:tc>
      </w:tr>
      <w:tr w:rsidR="00BE1599" w:rsidRPr="00BE1599" w14:paraId="02790BBE" w14:textId="77777777" w:rsidTr="00BE1599">
        <w:trPr>
          <w:cantSplit/>
          <w:trHeight w:val="504"/>
        </w:trPr>
        <w:tc>
          <w:tcPr>
            <w:tcW w:w="301" w:type="pct"/>
            <w:tcBorders>
              <w:top w:val="single" w:sz="4" w:space="0" w:color="auto"/>
              <w:left w:val="single" w:sz="12" w:space="0" w:color="auto"/>
              <w:right w:val="single" w:sz="4" w:space="0" w:color="auto"/>
            </w:tcBorders>
          </w:tcPr>
          <w:p w14:paraId="5A756CD7" w14:textId="43F5072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3</w:t>
            </w:r>
          </w:p>
        </w:tc>
        <w:tc>
          <w:tcPr>
            <w:tcW w:w="301" w:type="pct"/>
            <w:tcBorders>
              <w:top w:val="single" w:sz="4" w:space="0" w:color="auto"/>
              <w:left w:val="single" w:sz="4" w:space="0" w:color="auto"/>
            </w:tcBorders>
          </w:tcPr>
          <w:p w14:paraId="65DD494C" w14:textId="6107CD2D"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7551D69A" w14:textId="1401AC51" w:rsidR="004F1CAA" w:rsidRPr="005C203E" w:rsidRDefault="00BE1599" w:rsidP="00BE1599">
            <w:pPr>
              <w:spacing w:before="40" w:after="40"/>
              <w:rPr>
                <w:rFonts w:ascii="Arial" w:eastAsia="Arial" w:hAnsi="Arial" w:cs="Arial"/>
                <w:sz w:val="18"/>
              </w:rPr>
            </w:pPr>
            <w:r w:rsidRPr="005C203E">
              <w:rPr>
                <w:rFonts w:ascii="Arial" w:eastAsia="Arial" w:hAnsi="Arial" w:cs="Arial"/>
                <w:sz w:val="18"/>
              </w:rPr>
              <w:t>Hexavalent</w:t>
            </w:r>
            <w:r w:rsidR="00D566BA" w:rsidRPr="005C203E">
              <w:rPr>
                <w:rFonts w:ascii="Arial" w:eastAsia="Arial" w:hAnsi="Arial" w:cs="Arial"/>
                <w:sz w:val="18"/>
              </w:rPr>
              <w:t xml:space="preserve"> chromium use in cooling towers</w:t>
            </w:r>
          </w:p>
        </w:tc>
        <w:tc>
          <w:tcPr>
            <w:tcW w:w="649" w:type="pct"/>
            <w:tcBorders>
              <w:top w:val="single" w:sz="4" w:space="0" w:color="auto"/>
              <w:bottom w:val="single" w:sz="4" w:space="0" w:color="auto"/>
            </w:tcBorders>
          </w:tcPr>
          <w:p w14:paraId="5FA2C4A9" w14:textId="596EF4F5" w:rsidR="004F1CAA" w:rsidRPr="005C203E" w:rsidRDefault="00D566BA"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025F64D6" w14:textId="325DE7FB" w:rsidR="004F1CAA"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20AC0643" w14:textId="22EAB2F7" w:rsidR="004F1CAA" w:rsidRPr="005C203E" w:rsidRDefault="00BE1599" w:rsidP="004F1CAA">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3B9C52DD" w14:textId="77777777" w:rsidTr="00BE1599">
        <w:trPr>
          <w:cantSplit/>
          <w:trHeight w:val="504"/>
        </w:trPr>
        <w:tc>
          <w:tcPr>
            <w:tcW w:w="301" w:type="pct"/>
            <w:tcBorders>
              <w:left w:val="single" w:sz="12" w:space="0" w:color="auto"/>
              <w:right w:val="single" w:sz="4" w:space="0" w:color="auto"/>
            </w:tcBorders>
          </w:tcPr>
          <w:p w14:paraId="78C42281" w14:textId="2A204088"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4</w:t>
            </w:r>
          </w:p>
        </w:tc>
        <w:tc>
          <w:tcPr>
            <w:tcW w:w="301" w:type="pct"/>
            <w:tcBorders>
              <w:left w:val="single" w:sz="4" w:space="0" w:color="auto"/>
            </w:tcBorders>
          </w:tcPr>
          <w:p w14:paraId="176CAEB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3F76A89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Incineration of hazardous, municipal, or biomedical waste, or tires</w:t>
            </w:r>
          </w:p>
        </w:tc>
        <w:tc>
          <w:tcPr>
            <w:tcW w:w="649" w:type="pct"/>
            <w:tcBorders>
              <w:top w:val="single" w:sz="4" w:space="0" w:color="auto"/>
              <w:bottom w:val="single" w:sz="4" w:space="0" w:color="auto"/>
            </w:tcBorders>
          </w:tcPr>
          <w:p w14:paraId="462DD4F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674EC43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53CB5C2F"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0FF36DF9" w14:textId="77777777" w:rsidTr="00BE1599">
        <w:trPr>
          <w:cantSplit/>
          <w:trHeight w:val="504"/>
        </w:trPr>
        <w:tc>
          <w:tcPr>
            <w:tcW w:w="301" w:type="pct"/>
            <w:tcBorders>
              <w:left w:val="single" w:sz="12" w:space="0" w:color="auto"/>
              <w:right w:val="single" w:sz="4" w:space="0" w:color="auto"/>
            </w:tcBorders>
          </w:tcPr>
          <w:p w14:paraId="7723AF50" w14:textId="32586152"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5</w:t>
            </w:r>
          </w:p>
        </w:tc>
        <w:tc>
          <w:tcPr>
            <w:tcW w:w="301" w:type="pct"/>
            <w:tcBorders>
              <w:left w:val="single" w:sz="4" w:space="0" w:color="auto"/>
            </w:tcBorders>
          </w:tcPr>
          <w:p w14:paraId="2F0997C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1E0FC58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Cremation of humans or animals</w:t>
            </w:r>
          </w:p>
        </w:tc>
        <w:tc>
          <w:tcPr>
            <w:tcW w:w="649" w:type="pct"/>
            <w:tcBorders>
              <w:top w:val="single" w:sz="4" w:space="0" w:color="auto"/>
              <w:bottom w:val="single" w:sz="4" w:space="0" w:color="auto"/>
            </w:tcBorders>
          </w:tcPr>
          <w:p w14:paraId="5E19433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7261, 6531, 8699</w:t>
            </w:r>
          </w:p>
        </w:tc>
        <w:tc>
          <w:tcPr>
            <w:tcW w:w="649" w:type="pct"/>
            <w:tcBorders>
              <w:top w:val="single" w:sz="4" w:space="0" w:color="auto"/>
              <w:bottom w:val="single" w:sz="4" w:space="0" w:color="auto"/>
            </w:tcBorders>
          </w:tcPr>
          <w:p w14:paraId="0A33EB1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812220</w:t>
            </w:r>
          </w:p>
        </w:tc>
        <w:tc>
          <w:tcPr>
            <w:tcW w:w="1301" w:type="pct"/>
            <w:tcBorders>
              <w:top w:val="single" w:sz="4" w:space="0" w:color="auto"/>
              <w:bottom w:val="single" w:sz="4" w:space="0" w:color="auto"/>
              <w:right w:val="single" w:sz="12" w:space="0" w:color="auto"/>
            </w:tcBorders>
          </w:tcPr>
          <w:p w14:paraId="04CEE352"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2EAAB543" w14:textId="77777777" w:rsidTr="00BE1599">
        <w:trPr>
          <w:cantSplit/>
          <w:trHeight w:val="504"/>
        </w:trPr>
        <w:tc>
          <w:tcPr>
            <w:tcW w:w="301" w:type="pct"/>
            <w:tcBorders>
              <w:left w:val="single" w:sz="12" w:space="0" w:color="auto"/>
              <w:right w:val="single" w:sz="4" w:space="0" w:color="auto"/>
            </w:tcBorders>
          </w:tcPr>
          <w:p w14:paraId="08CEB13E" w14:textId="039A5E4F"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6</w:t>
            </w:r>
          </w:p>
        </w:tc>
        <w:tc>
          <w:tcPr>
            <w:tcW w:w="301" w:type="pct"/>
            <w:tcBorders>
              <w:left w:val="single" w:sz="4" w:space="0" w:color="auto"/>
            </w:tcBorders>
          </w:tcPr>
          <w:p w14:paraId="7C724B7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47C54FE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Fiberglass and various fiberglass materials and product manufacturing</w:t>
            </w:r>
          </w:p>
        </w:tc>
        <w:tc>
          <w:tcPr>
            <w:tcW w:w="649" w:type="pct"/>
            <w:tcBorders>
              <w:top w:val="single" w:sz="4" w:space="0" w:color="auto"/>
              <w:bottom w:val="single" w:sz="4" w:space="0" w:color="auto"/>
            </w:tcBorders>
          </w:tcPr>
          <w:p w14:paraId="7796EB3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2221, 3229</w:t>
            </w:r>
          </w:p>
        </w:tc>
        <w:tc>
          <w:tcPr>
            <w:tcW w:w="649" w:type="pct"/>
            <w:tcBorders>
              <w:top w:val="single" w:sz="4" w:space="0" w:color="auto"/>
              <w:bottom w:val="single" w:sz="4" w:space="0" w:color="auto"/>
            </w:tcBorders>
          </w:tcPr>
          <w:p w14:paraId="73CA93D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326191, 326199, 337125</w:t>
            </w:r>
          </w:p>
        </w:tc>
        <w:tc>
          <w:tcPr>
            <w:tcW w:w="1301" w:type="pct"/>
            <w:tcBorders>
              <w:top w:val="single" w:sz="4" w:space="0" w:color="auto"/>
              <w:bottom w:val="single" w:sz="4" w:space="0" w:color="auto"/>
              <w:right w:val="single" w:sz="12" w:space="0" w:color="auto"/>
            </w:tcBorders>
          </w:tcPr>
          <w:p w14:paraId="3D95961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A1C9DB8" w14:textId="77777777" w:rsidTr="00BE1599">
        <w:trPr>
          <w:cantSplit/>
          <w:trHeight w:val="504"/>
        </w:trPr>
        <w:tc>
          <w:tcPr>
            <w:tcW w:w="301" w:type="pct"/>
            <w:tcBorders>
              <w:left w:val="single" w:sz="12" w:space="0" w:color="auto"/>
              <w:right w:val="single" w:sz="4" w:space="0" w:color="auto"/>
            </w:tcBorders>
          </w:tcPr>
          <w:p w14:paraId="65F88FD3" w14:textId="5420B62B"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7</w:t>
            </w:r>
          </w:p>
        </w:tc>
        <w:tc>
          <w:tcPr>
            <w:tcW w:w="301" w:type="pct"/>
            <w:tcBorders>
              <w:left w:val="single" w:sz="4" w:space="0" w:color="auto"/>
            </w:tcBorders>
          </w:tcPr>
          <w:p w14:paraId="0BB26C3F"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56EF512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Pulp and paper manufacturing</w:t>
            </w:r>
          </w:p>
        </w:tc>
        <w:tc>
          <w:tcPr>
            <w:tcW w:w="649" w:type="pct"/>
            <w:tcBorders>
              <w:top w:val="single" w:sz="4" w:space="0" w:color="auto"/>
              <w:bottom w:val="single" w:sz="4" w:space="0" w:color="auto"/>
            </w:tcBorders>
          </w:tcPr>
          <w:p w14:paraId="36091BB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2611, 2621, 2631</w:t>
            </w:r>
          </w:p>
        </w:tc>
        <w:tc>
          <w:tcPr>
            <w:tcW w:w="649" w:type="pct"/>
            <w:tcBorders>
              <w:top w:val="single" w:sz="4" w:space="0" w:color="auto"/>
              <w:bottom w:val="single" w:sz="4" w:space="0" w:color="auto"/>
            </w:tcBorders>
          </w:tcPr>
          <w:p w14:paraId="1678E71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3221xx</w:t>
            </w:r>
          </w:p>
        </w:tc>
        <w:tc>
          <w:tcPr>
            <w:tcW w:w="1301" w:type="pct"/>
            <w:tcBorders>
              <w:top w:val="single" w:sz="4" w:space="0" w:color="auto"/>
              <w:bottom w:val="single" w:sz="4" w:space="0" w:color="auto"/>
              <w:right w:val="single" w:sz="12" w:space="0" w:color="auto"/>
            </w:tcBorders>
          </w:tcPr>
          <w:p w14:paraId="37462C41"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492C9C89" w14:textId="77777777" w:rsidTr="00BE1599">
        <w:trPr>
          <w:cantSplit/>
          <w:trHeight w:val="504"/>
        </w:trPr>
        <w:tc>
          <w:tcPr>
            <w:tcW w:w="301" w:type="pct"/>
            <w:tcBorders>
              <w:left w:val="single" w:sz="12" w:space="0" w:color="auto"/>
              <w:right w:val="single" w:sz="4" w:space="0" w:color="auto"/>
            </w:tcBorders>
          </w:tcPr>
          <w:p w14:paraId="56DB6918" w14:textId="05F975AD"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r w:rsidR="002C2D49" w:rsidRPr="005C203E">
              <w:rPr>
                <w:rFonts w:ascii="Arial" w:eastAsia="Arial" w:hAnsi="Arial" w:cs="Arial"/>
                <w:sz w:val="18"/>
              </w:rPr>
              <w:t>8</w:t>
            </w:r>
          </w:p>
        </w:tc>
        <w:tc>
          <w:tcPr>
            <w:tcW w:w="301" w:type="pct"/>
            <w:tcBorders>
              <w:left w:val="single" w:sz="4" w:space="0" w:color="auto"/>
            </w:tcBorders>
          </w:tcPr>
          <w:p w14:paraId="3A5BA1F9"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6861A8A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Semiconductors and related devices manufacturing</w:t>
            </w:r>
          </w:p>
        </w:tc>
        <w:tc>
          <w:tcPr>
            <w:tcW w:w="649" w:type="pct"/>
            <w:tcBorders>
              <w:top w:val="single" w:sz="4" w:space="0" w:color="auto"/>
              <w:bottom w:val="single" w:sz="4" w:space="0" w:color="auto"/>
            </w:tcBorders>
          </w:tcPr>
          <w:p w14:paraId="058F9DF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3674</w:t>
            </w:r>
          </w:p>
        </w:tc>
        <w:tc>
          <w:tcPr>
            <w:tcW w:w="649" w:type="pct"/>
            <w:tcBorders>
              <w:top w:val="single" w:sz="4" w:space="0" w:color="auto"/>
              <w:bottom w:val="single" w:sz="4" w:space="0" w:color="auto"/>
            </w:tcBorders>
          </w:tcPr>
          <w:p w14:paraId="71AB759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334413</w:t>
            </w:r>
          </w:p>
        </w:tc>
        <w:tc>
          <w:tcPr>
            <w:tcW w:w="1301" w:type="pct"/>
            <w:tcBorders>
              <w:top w:val="single" w:sz="4" w:space="0" w:color="auto"/>
              <w:bottom w:val="single" w:sz="4" w:space="0" w:color="auto"/>
              <w:right w:val="single" w:sz="12" w:space="0" w:color="auto"/>
            </w:tcBorders>
          </w:tcPr>
          <w:p w14:paraId="59CA83BC"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731976E4" w14:textId="77777777" w:rsidTr="00BE1599">
        <w:trPr>
          <w:cantSplit/>
          <w:trHeight w:val="504"/>
        </w:trPr>
        <w:tc>
          <w:tcPr>
            <w:tcW w:w="301" w:type="pct"/>
            <w:tcBorders>
              <w:left w:val="single" w:sz="12" w:space="0" w:color="auto"/>
              <w:right w:val="single" w:sz="4" w:space="0" w:color="auto"/>
            </w:tcBorders>
          </w:tcPr>
          <w:p w14:paraId="4F7E1A6C" w14:textId="5D63E4B3" w:rsidR="00BE1599" w:rsidRPr="005C203E" w:rsidRDefault="002C2D49" w:rsidP="002C2D49">
            <w:pPr>
              <w:spacing w:before="40" w:after="40"/>
              <w:jc w:val="center"/>
              <w:rPr>
                <w:rFonts w:ascii="Arial" w:eastAsia="Arial" w:hAnsi="Arial" w:cs="Arial"/>
                <w:dstrike/>
                <w:sz w:val="18"/>
              </w:rPr>
            </w:pPr>
            <w:r w:rsidRPr="005C203E">
              <w:rPr>
                <w:rFonts w:ascii="Arial" w:eastAsia="Arial" w:hAnsi="Arial" w:cs="Arial"/>
                <w:sz w:val="18"/>
              </w:rPr>
              <w:t>39</w:t>
            </w:r>
          </w:p>
        </w:tc>
        <w:tc>
          <w:tcPr>
            <w:tcW w:w="301" w:type="pct"/>
            <w:tcBorders>
              <w:left w:val="single" w:sz="4" w:space="0" w:color="auto"/>
            </w:tcBorders>
          </w:tcPr>
          <w:p w14:paraId="33C8753B"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2C4623AA"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Oil and gas extraction or production</w:t>
            </w:r>
          </w:p>
        </w:tc>
        <w:tc>
          <w:tcPr>
            <w:tcW w:w="649" w:type="pct"/>
            <w:tcBorders>
              <w:top w:val="single" w:sz="4" w:space="0" w:color="auto"/>
              <w:bottom w:val="single" w:sz="4" w:space="0" w:color="auto"/>
            </w:tcBorders>
          </w:tcPr>
          <w:p w14:paraId="19D2F25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1311 through 1389</w:t>
            </w:r>
          </w:p>
        </w:tc>
        <w:tc>
          <w:tcPr>
            <w:tcW w:w="649" w:type="pct"/>
            <w:tcBorders>
              <w:top w:val="single" w:sz="4" w:space="0" w:color="auto"/>
              <w:bottom w:val="single" w:sz="4" w:space="0" w:color="auto"/>
            </w:tcBorders>
          </w:tcPr>
          <w:p w14:paraId="4CA70B2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211xxx, 213111, 213112</w:t>
            </w:r>
          </w:p>
        </w:tc>
        <w:tc>
          <w:tcPr>
            <w:tcW w:w="1301" w:type="pct"/>
            <w:tcBorders>
              <w:top w:val="single" w:sz="4" w:space="0" w:color="auto"/>
              <w:bottom w:val="single" w:sz="4" w:space="0" w:color="auto"/>
              <w:right w:val="single" w:sz="12" w:space="0" w:color="auto"/>
            </w:tcBorders>
          </w:tcPr>
          <w:p w14:paraId="3F63CF6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1C837B82" w14:textId="77777777" w:rsidTr="00BE1599">
        <w:trPr>
          <w:cantSplit/>
          <w:trHeight w:val="504"/>
        </w:trPr>
        <w:tc>
          <w:tcPr>
            <w:tcW w:w="301" w:type="pct"/>
            <w:tcBorders>
              <w:left w:val="single" w:sz="12" w:space="0" w:color="auto"/>
              <w:right w:val="single" w:sz="4" w:space="0" w:color="auto"/>
            </w:tcBorders>
          </w:tcPr>
          <w:p w14:paraId="32F2F10E" w14:textId="5C498BF4" w:rsidR="00BE1599" w:rsidRPr="005C203E" w:rsidRDefault="00BE1599" w:rsidP="002C2D4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0</w:t>
            </w:r>
          </w:p>
        </w:tc>
        <w:tc>
          <w:tcPr>
            <w:tcW w:w="301" w:type="pct"/>
            <w:tcBorders>
              <w:left w:val="single" w:sz="4" w:space="0" w:color="auto"/>
            </w:tcBorders>
          </w:tcPr>
          <w:p w14:paraId="2D16730A"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51480F0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Melting, smelting, recovery, reclamation, or recycling of lead-containing materials, including but not limited to lead batteries</w:t>
            </w:r>
          </w:p>
        </w:tc>
        <w:tc>
          <w:tcPr>
            <w:tcW w:w="649" w:type="pct"/>
            <w:tcBorders>
              <w:top w:val="single" w:sz="4" w:space="0" w:color="auto"/>
              <w:bottom w:val="single" w:sz="4" w:space="0" w:color="auto"/>
            </w:tcBorders>
          </w:tcPr>
          <w:p w14:paraId="5474D1C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3300 through 3499, 3690 through 3699, 3714, 3728, 5051, 5093, 9711</w:t>
            </w:r>
          </w:p>
        </w:tc>
        <w:tc>
          <w:tcPr>
            <w:tcW w:w="649" w:type="pct"/>
            <w:tcBorders>
              <w:top w:val="single" w:sz="4" w:space="0" w:color="auto"/>
              <w:bottom w:val="single" w:sz="4" w:space="0" w:color="auto"/>
            </w:tcBorders>
          </w:tcPr>
          <w:p w14:paraId="20A0005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331410, 331492, and 423930</w:t>
            </w:r>
          </w:p>
        </w:tc>
        <w:tc>
          <w:tcPr>
            <w:tcW w:w="1301" w:type="pct"/>
            <w:tcBorders>
              <w:top w:val="single" w:sz="4" w:space="0" w:color="auto"/>
              <w:bottom w:val="single" w:sz="4" w:space="0" w:color="auto"/>
              <w:right w:val="single" w:sz="12" w:space="0" w:color="auto"/>
            </w:tcBorders>
          </w:tcPr>
          <w:p w14:paraId="353A66B8"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5F0DFD1E" w14:textId="77777777" w:rsidTr="00BE1599">
        <w:trPr>
          <w:cantSplit/>
          <w:trHeight w:val="504"/>
        </w:trPr>
        <w:tc>
          <w:tcPr>
            <w:tcW w:w="301" w:type="pct"/>
            <w:tcBorders>
              <w:left w:val="single" w:sz="12" w:space="0" w:color="auto"/>
              <w:right w:val="single" w:sz="4" w:space="0" w:color="auto"/>
            </w:tcBorders>
          </w:tcPr>
          <w:p w14:paraId="7B25FBD2" w14:textId="0C8B032F"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lastRenderedPageBreak/>
              <w:t>4</w:t>
            </w:r>
            <w:r w:rsidR="002C2D49" w:rsidRPr="005C203E">
              <w:rPr>
                <w:rFonts w:ascii="Arial" w:eastAsia="Arial" w:hAnsi="Arial" w:cs="Arial"/>
                <w:sz w:val="18"/>
              </w:rPr>
              <w:t>1</w:t>
            </w:r>
          </w:p>
        </w:tc>
        <w:tc>
          <w:tcPr>
            <w:tcW w:w="301" w:type="pct"/>
            <w:tcBorders>
              <w:left w:val="single" w:sz="4" w:space="0" w:color="auto"/>
            </w:tcBorders>
          </w:tcPr>
          <w:p w14:paraId="7B3AA012"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131BCB40"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Primary or secondary metal melting, smelting, refining, alloying, forging, or foundry/casting operations</w:t>
            </w:r>
          </w:p>
        </w:tc>
        <w:tc>
          <w:tcPr>
            <w:tcW w:w="649" w:type="pct"/>
            <w:tcBorders>
              <w:top w:val="single" w:sz="4" w:space="0" w:color="auto"/>
              <w:bottom w:val="single" w:sz="4" w:space="0" w:color="auto"/>
            </w:tcBorders>
          </w:tcPr>
          <w:p w14:paraId="2C5121B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3300 through 3499, 3690 through 3699, 3714, 3728, 5051, 5093, 9711</w:t>
            </w:r>
          </w:p>
        </w:tc>
        <w:tc>
          <w:tcPr>
            <w:tcW w:w="649" w:type="pct"/>
            <w:tcBorders>
              <w:top w:val="single" w:sz="4" w:space="0" w:color="auto"/>
              <w:bottom w:val="single" w:sz="4" w:space="0" w:color="auto"/>
            </w:tcBorders>
          </w:tcPr>
          <w:p w14:paraId="3F86CCDC"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331410, 331492, 33151x, 33152x, and 423930</w:t>
            </w:r>
          </w:p>
        </w:tc>
        <w:tc>
          <w:tcPr>
            <w:tcW w:w="1301" w:type="pct"/>
            <w:tcBorders>
              <w:top w:val="single" w:sz="4" w:space="0" w:color="auto"/>
              <w:bottom w:val="single" w:sz="4" w:space="0" w:color="auto"/>
              <w:right w:val="single" w:sz="12" w:space="0" w:color="auto"/>
            </w:tcBorders>
          </w:tcPr>
          <w:p w14:paraId="316DDEED"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32BDF7F6" w14:textId="77777777" w:rsidTr="00BE1599">
        <w:trPr>
          <w:cantSplit/>
          <w:trHeight w:val="504"/>
        </w:trPr>
        <w:tc>
          <w:tcPr>
            <w:tcW w:w="301" w:type="pct"/>
            <w:tcBorders>
              <w:top w:val="single" w:sz="4" w:space="0" w:color="auto"/>
              <w:left w:val="single" w:sz="12" w:space="0" w:color="auto"/>
              <w:right w:val="single" w:sz="4" w:space="0" w:color="auto"/>
            </w:tcBorders>
          </w:tcPr>
          <w:p w14:paraId="36B44BA1" w14:textId="4C05D8FF"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2</w:t>
            </w:r>
          </w:p>
        </w:tc>
        <w:tc>
          <w:tcPr>
            <w:tcW w:w="301" w:type="pct"/>
            <w:tcBorders>
              <w:top w:val="single" w:sz="4" w:space="0" w:color="auto"/>
              <w:left w:val="single" w:sz="4" w:space="0" w:color="auto"/>
            </w:tcBorders>
          </w:tcPr>
          <w:p w14:paraId="3DC63043"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77364CD5"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Prepared feed manufacturing</w:t>
            </w:r>
          </w:p>
        </w:tc>
        <w:tc>
          <w:tcPr>
            <w:tcW w:w="649" w:type="pct"/>
            <w:tcBorders>
              <w:top w:val="single" w:sz="4" w:space="0" w:color="auto"/>
              <w:bottom w:val="single" w:sz="4" w:space="0" w:color="auto"/>
            </w:tcBorders>
          </w:tcPr>
          <w:p w14:paraId="792E870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2048</w:t>
            </w:r>
          </w:p>
        </w:tc>
        <w:tc>
          <w:tcPr>
            <w:tcW w:w="649" w:type="pct"/>
            <w:tcBorders>
              <w:top w:val="single" w:sz="4" w:space="0" w:color="auto"/>
              <w:bottom w:val="single" w:sz="4" w:space="0" w:color="auto"/>
            </w:tcBorders>
          </w:tcPr>
          <w:p w14:paraId="090011B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321119</w:t>
            </w:r>
          </w:p>
        </w:tc>
        <w:tc>
          <w:tcPr>
            <w:tcW w:w="1301" w:type="pct"/>
            <w:tcBorders>
              <w:top w:val="single" w:sz="4" w:space="0" w:color="auto"/>
              <w:bottom w:val="single" w:sz="4" w:space="0" w:color="auto"/>
              <w:right w:val="single" w:sz="12" w:space="0" w:color="auto"/>
            </w:tcBorders>
          </w:tcPr>
          <w:p w14:paraId="62B41CB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One ton of product manufactured</w:t>
            </w:r>
          </w:p>
        </w:tc>
      </w:tr>
      <w:tr w:rsidR="00BE1599" w:rsidRPr="00BE1599" w14:paraId="44D8CCB4" w14:textId="77777777" w:rsidTr="00BE1599">
        <w:trPr>
          <w:cantSplit/>
          <w:trHeight w:val="504"/>
        </w:trPr>
        <w:tc>
          <w:tcPr>
            <w:tcW w:w="301" w:type="pct"/>
            <w:tcBorders>
              <w:left w:val="single" w:sz="12" w:space="0" w:color="auto"/>
              <w:bottom w:val="single" w:sz="4" w:space="0" w:color="auto"/>
              <w:right w:val="single" w:sz="4" w:space="0" w:color="auto"/>
            </w:tcBorders>
          </w:tcPr>
          <w:p w14:paraId="3CDE78A7" w14:textId="17628DF3"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3</w:t>
            </w:r>
          </w:p>
        </w:tc>
        <w:tc>
          <w:tcPr>
            <w:tcW w:w="301" w:type="pct"/>
            <w:tcBorders>
              <w:left w:val="single" w:sz="4" w:space="0" w:color="auto"/>
              <w:bottom w:val="single" w:sz="4" w:space="0" w:color="auto"/>
            </w:tcBorders>
          </w:tcPr>
          <w:p w14:paraId="3DC761CE"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24FFEC1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Wood preserving</w:t>
            </w:r>
          </w:p>
        </w:tc>
        <w:tc>
          <w:tcPr>
            <w:tcW w:w="649" w:type="pct"/>
            <w:tcBorders>
              <w:top w:val="single" w:sz="4" w:space="0" w:color="auto"/>
              <w:bottom w:val="single" w:sz="4" w:space="0" w:color="auto"/>
            </w:tcBorders>
          </w:tcPr>
          <w:p w14:paraId="0910D01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259x</w:t>
            </w:r>
          </w:p>
        </w:tc>
        <w:tc>
          <w:tcPr>
            <w:tcW w:w="649" w:type="pct"/>
            <w:tcBorders>
              <w:top w:val="single" w:sz="4" w:space="0" w:color="auto"/>
              <w:bottom w:val="single" w:sz="4" w:space="0" w:color="auto"/>
            </w:tcBorders>
          </w:tcPr>
          <w:p w14:paraId="650B38B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321114, 3212xx</w:t>
            </w:r>
          </w:p>
        </w:tc>
        <w:tc>
          <w:tcPr>
            <w:tcW w:w="1301" w:type="pct"/>
            <w:tcBorders>
              <w:top w:val="single" w:sz="4" w:space="0" w:color="auto"/>
              <w:bottom w:val="single" w:sz="4" w:space="0" w:color="auto"/>
              <w:right w:val="single" w:sz="12" w:space="0" w:color="auto"/>
            </w:tcBorders>
          </w:tcPr>
          <w:p w14:paraId="7A8B160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 activity level</w:t>
            </w:r>
          </w:p>
        </w:tc>
      </w:tr>
      <w:tr w:rsidR="00BE1599" w:rsidRPr="00BE1599" w14:paraId="24F073E7" w14:textId="77777777" w:rsidTr="00BE1599">
        <w:trPr>
          <w:cantSplit/>
          <w:trHeight w:val="504"/>
        </w:trPr>
        <w:tc>
          <w:tcPr>
            <w:tcW w:w="301" w:type="pct"/>
            <w:tcBorders>
              <w:left w:val="single" w:sz="12" w:space="0" w:color="auto"/>
              <w:right w:val="single" w:sz="4" w:space="0" w:color="auto"/>
            </w:tcBorders>
          </w:tcPr>
          <w:p w14:paraId="4C31FE37" w14:textId="3AEC588D"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4</w:t>
            </w:r>
          </w:p>
        </w:tc>
        <w:tc>
          <w:tcPr>
            <w:tcW w:w="301" w:type="pct"/>
            <w:tcBorders>
              <w:left w:val="single" w:sz="4" w:space="0" w:color="auto"/>
            </w:tcBorders>
          </w:tcPr>
          <w:p w14:paraId="34F2623E"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51AFAB5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Long term asbestos removal on a routine and predictable basis</w:t>
            </w:r>
          </w:p>
        </w:tc>
        <w:tc>
          <w:tcPr>
            <w:tcW w:w="649" w:type="pct"/>
            <w:tcBorders>
              <w:top w:val="single" w:sz="4" w:space="0" w:color="auto"/>
              <w:bottom w:val="single" w:sz="4" w:space="0" w:color="auto"/>
            </w:tcBorders>
          </w:tcPr>
          <w:p w14:paraId="5B4CA84E"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4" w:space="0" w:color="auto"/>
            </w:tcBorders>
          </w:tcPr>
          <w:p w14:paraId="26E19CAB"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4" w:space="0" w:color="auto"/>
              <w:right w:val="single" w:sz="12" w:space="0" w:color="auto"/>
            </w:tcBorders>
          </w:tcPr>
          <w:p w14:paraId="384407EA"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One year duration</w:t>
            </w:r>
          </w:p>
        </w:tc>
      </w:tr>
      <w:tr w:rsidR="00BE1599" w:rsidRPr="00BE1599" w14:paraId="0B875D2B" w14:textId="77777777" w:rsidTr="00BE1599">
        <w:trPr>
          <w:cantSplit/>
          <w:trHeight w:val="504"/>
        </w:trPr>
        <w:tc>
          <w:tcPr>
            <w:tcW w:w="301" w:type="pct"/>
            <w:tcBorders>
              <w:left w:val="single" w:sz="12" w:space="0" w:color="auto"/>
              <w:right w:val="single" w:sz="4" w:space="0" w:color="auto"/>
            </w:tcBorders>
          </w:tcPr>
          <w:p w14:paraId="379B1ADE" w14:textId="180DF8AF"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5</w:t>
            </w:r>
          </w:p>
        </w:tc>
        <w:tc>
          <w:tcPr>
            <w:tcW w:w="301" w:type="pct"/>
            <w:tcBorders>
              <w:left w:val="single" w:sz="4" w:space="0" w:color="auto"/>
            </w:tcBorders>
          </w:tcPr>
          <w:p w14:paraId="54628818"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630BEB91" w14:textId="548D9222"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Combustion of residual, distillate, or diesel oil in agricultural operations-related industry sectors</w:t>
            </w:r>
          </w:p>
        </w:tc>
        <w:tc>
          <w:tcPr>
            <w:tcW w:w="649" w:type="pct"/>
            <w:tcBorders>
              <w:top w:val="single" w:sz="4" w:space="0" w:color="auto"/>
              <w:bottom w:val="single" w:sz="4" w:space="0" w:color="auto"/>
            </w:tcBorders>
          </w:tcPr>
          <w:p w14:paraId="5B58F44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0110 through 0762</w:t>
            </w:r>
          </w:p>
        </w:tc>
        <w:tc>
          <w:tcPr>
            <w:tcW w:w="649" w:type="pct"/>
            <w:tcBorders>
              <w:top w:val="single" w:sz="4" w:space="0" w:color="auto"/>
              <w:bottom w:val="single" w:sz="4" w:space="0" w:color="auto"/>
            </w:tcBorders>
          </w:tcPr>
          <w:p w14:paraId="7E9F9F54"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1111xx, 1112xx, 1113xx, 1114xx, 1119xx, 1121xx, 1122xx, 1123xx, 1124xx, 1125xx, 1129xx, 1151xx, and 1152xx</w:t>
            </w:r>
          </w:p>
        </w:tc>
        <w:tc>
          <w:tcPr>
            <w:tcW w:w="1301" w:type="pct"/>
            <w:tcBorders>
              <w:top w:val="single" w:sz="4" w:space="0" w:color="auto"/>
              <w:bottom w:val="single" w:sz="4" w:space="0" w:color="auto"/>
              <w:right w:val="single" w:sz="12" w:space="0" w:color="auto"/>
            </w:tcBorders>
          </w:tcPr>
          <w:p w14:paraId="52B88306" w14:textId="39DD2775" w:rsidR="00BE1599" w:rsidRPr="005C203E" w:rsidRDefault="00BE1599" w:rsidP="00EC0B11">
            <w:pPr>
              <w:spacing w:before="40" w:after="40"/>
              <w:rPr>
                <w:rFonts w:ascii="Arial" w:eastAsia="Arial" w:hAnsi="Arial" w:cs="Arial"/>
                <w:sz w:val="18"/>
              </w:rPr>
            </w:pPr>
            <w:r w:rsidRPr="005C203E">
              <w:rPr>
                <w:rFonts w:ascii="Arial" w:eastAsia="Arial" w:hAnsi="Arial" w:cs="Arial"/>
                <w:sz w:val="18"/>
              </w:rPr>
              <w:t xml:space="preserve">Tier 4 or higher diesel engines: 100 gallons of fuel combusted per year, or 5 hours per year of </w:t>
            </w:r>
            <w:r w:rsidR="00917F26" w:rsidRPr="005C203E">
              <w:rPr>
                <w:rFonts w:ascii="Arial" w:eastAsia="Arial" w:hAnsi="Arial" w:cs="Arial"/>
                <w:sz w:val="18"/>
              </w:rPr>
              <w:t xml:space="preserve">non-emergency </w:t>
            </w:r>
            <w:r w:rsidRPr="005C203E">
              <w:rPr>
                <w:rFonts w:ascii="Arial" w:eastAsia="Arial" w:hAnsi="Arial" w:cs="Arial"/>
                <w:sz w:val="18"/>
              </w:rPr>
              <w:t xml:space="preserve">operation. </w:t>
            </w:r>
            <w:r w:rsidR="00EC0B11" w:rsidRPr="005C203E">
              <w:rPr>
                <w:rFonts w:ascii="Arial" w:eastAsia="Arial" w:hAnsi="Arial" w:cs="Arial"/>
                <w:sz w:val="18"/>
              </w:rPr>
              <w:br/>
            </w:r>
            <w:r w:rsidRPr="005C203E">
              <w:rPr>
                <w:rFonts w:ascii="Arial" w:eastAsia="Arial" w:hAnsi="Arial" w:cs="Arial"/>
                <w:sz w:val="18"/>
              </w:rPr>
              <w:t xml:space="preserve">Tier zero through tier 3 diesel Engines: 30 gallons of fuel combusted per year, or 5 hours per year of </w:t>
            </w:r>
            <w:r w:rsidR="00917F26" w:rsidRPr="005C203E">
              <w:rPr>
                <w:rFonts w:ascii="Arial" w:eastAsia="Arial" w:hAnsi="Arial" w:cs="Arial"/>
                <w:sz w:val="18"/>
              </w:rPr>
              <w:t xml:space="preserve">non-emergency </w:t>
            </w:r>
            <w:r w:rsidRPr="005C203E">
              <w:rPr>
                <w:rFonts w:ascii="Arial" w:eastAsia="Arial" w:hAnsi="Arial" w:cs="Arial"/>
                <w:sz w:val="18"/>
              </w:rPr>
              <w:t>operation.</w:t>
            </w:r>
            <w:r w:rsidR="00EC0B11" w:rsidRPr="005C203E">
              <w:rPr>
                <w:rFonts w:ascii="Arial" w:eastAsia="Arial" w:hAnsi="Arial" w:cs="Arial"/>
                <w:sz w:val="18"/>
              </w:rPr>
              <w:br/>
            </w:r>
            <w:r w:rsidRPr="005C203E">
              <w:rPr>
                <w:rFonts w:ascii="Arial" w:eastAsia="Arial" w:hAnsi="Arial" w:cs="Arial"/>
                <w:sz w:val="18"/>
              </w:rPr>
              <w:t>Combustion devices other than compression ignition engines: 100 gallons of fuel combusted per year.</w:t>
            </w:r>
          </w:p>
        </w:tc>
      </w:tr>
      <w:tr w:rsidR="00BE1599" w:rsidRPr="00BE1599" w14:paraId="6A6A3F82" w14:textId="77777777" w:rsidTr="00BE1599">
        <w:trPr>
          <w:cantSplit/>
          <w:trHeight w:val="504"/>
        </w:trPr>
        <w:tc>
          <w:tcPr>
            <w:tcW w:w="301" w:type="pct"/>
            <w:tcBorders>
              <w:left w:val="single" w:sz="12" w:space="0" w:color="auto"/>
              <w:right w:val="single" w:sz="4" w:space="0" w:color="auto"/>
            </w:tcBorders>
          </w:tcPr>
          <w:p w14:paraId="630DE1E2" w14:textId="6B0A14C8"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4</w:t>
            </w:r>
            <w:r w:rsidR="002C2D49" w:rsidRPr="005C203E">
              <w:rPr>
                <w:rFonts w:ascii="Arial" w:eastAsia="Arial" w:hAnsi="Arial" w:cs="Arial"/>
                <w:sz w:val="18"/>
              </w:rPr>
              <w:t>6</w:t>
            </w:r>
          </w:p>
        </w:tc>
        <w:tc>
          <w:tcPr>
            <w:tcW w:w="301" w:type="pct"/>
            <w:tcBorders>
              <w:left w:val="single" w:sz="4" w:space="0" w:color="auto"/>
            </w:tcBorders>
          </w:tcPr>
          <w:p w14:paraId="269F7BD6" w14:textId="77777777" w:rsidR="00BE1599" w:rsidRPr="005C203E" w:rsidRDefault="00BE1599" w:rsidP="00BE1599">
            <w:pPr>
              <w:spacing w:before="40" w:after="40"/>
              <w:jc w:val="center"/>
              <w:rPr>
                <w:rFonts w:ascii="Arial" w:eastAsia="Arial" w:hAnsi="Arial" w:cs="Arial"/>
                <w:sz w:val="18"/>
              </w:rPr>
            </w:pPr>
            <w:r w:rsidRPr="005C203E">
              <w:rPr>
                <w:rFonts w:ascii="Arial" w:eastAsia="Arial" w:hAnsi="Arial" w:cs="Arial"/>
                <w:sz w:val="18"/>
              </w:rPr>
              <w:t>3</w:t>
            </w:r>
          </w:p>
        </w:tc>
        <w:tc>
          <w:tcPr>
            <w:tcW w:w="1799" w:type="pct"/>
            <w:tcBorders>
              <w:top w:val="single" w:sz="4" w:space="0" w:color="auto"/>
              <w:bottom w:val="single" w:sz="4" w:space="0" w:color="auto"/>
            </w:tcBorders>
          </w:tcPr>
          <w:p w14:paraId="4F5E8753"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Boat and ship building and repair</w:t>
            </w:r>
          </w:p>
        </w:tc>
        <w:tc>
          <w:tcPr>
            <w:tcW w:w="649" w:type="pct"/>
            <w:tcBorders>
              <w:top w:val="single" w:sz="4" w:space="0" w:color="auto"/>
              <w:bottom w:val="single" w:sz="4" w:space="0" w:color="auto"/>
            </w:tcBorders>
          </w:tcPr>
          <w:p w14:paraId="787A5909"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3731, 3732</w:t>
            </w:r>
          </w:p>
        </w:tc>
        <w:tc>
          <w:tcPr>
            <w:tcW w:w="649" w:type="pct"/>
            <w:tcBorders>
              <w:top w:val="single" w:sz="4" w:space="0" w:color="auto"/>
              <w:bottom w:val="single" w:sz="4" w:space="0" w:color="auto"/>
            </w:tcBorders>
          </w:tcPr>
          <w:p w14:paraId="08B69EF7"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336611, 336612, 488390, 811490</w:t>
            </w:r>
          </w:p>
        </w:tc>
        <w:tc>
          <w:tcPr>
            <w:tcW w:w="1301" w:type="pct"/>
            <w:tcBorders>
              <w:top w:val="single" w:sz="4" w:space="0" w:color="auto"/>
              <w:bottom w:val="single" w:sz="4" w:space="0" w:color="auto"/>
              <w:right w:val="single" w:sz="12" w:space="0" w:color="auto"/>
            </w:tcBorders>
          </w:tcPr>
          <w:p w14:paraId="60FD2466" w14:textId="77777777" w:rsidR="00BE1599" w:rsidRPr="005C203E" w:rsidRDefault="00BE1599" w:rsidP="00BE1599">
            <w:pPr>
              <w:spacing w:before="40" w:after="40"/>
              <w:rPr>
                <w:rFonts w:ascii="Arial" w:eastAsia="Arial" w:hAnsi="Arial" w:cs="Arial"/>
                <w:sz w:val="18"/>
              </w:rPr>
            </w:pPr>
            <w:r w:rsidRPr="005C203E">
              <w:rPr>
                <w:rFonts w:ascii="Arial" w:eastAsia="Arial" w:hAnsi="Arial" w:cs="Arial"/>
                <w:sz w:val="18"/>
              </w:rPr>
              <w:t>1 gallon of coatings used per year</w:t>
            </w:r>
          </w:p>
        </w:tc>
      </w:tr>
      <w:tr w:rsidR="002C2D49" w:rsidRPr="002C2D49" w14:paraId="1B22C2A3" w14:textId="77777777" w:rsidTr="00BE1599">
        <w:trPr>
          <w:cantSplit/>
          <w:trHeight w:val="504"/>
        </w:trPr>
        <w:tc>
          <w:tcPr>
            <w:tcW w:w="301" w:type="pct"/>
            <w:tcBorders>
              <w:left w:val="single" w:sz="12" w:space="0" w:color="auto"/>
              <w:right w:val="single" w:sz="4" w:space="0" w:color="auto"/>
            </w:tcBorders>
          </w:tcPr>
          <w:p w14:paraId="6F97277A" w14:textId="3836AE79" w:rsidR="002C2D49" w:rsidRPr="005C203E" w:rsidRDefault="002C2D49" w:rsidP="002C2D49">
            <w:pPr>
              <w:spacing w:before="40" w:after="40"/>
              <w:jc w:val="center"/>
              <w:rPr>
                <w:rFonts w:ascii="Arial" w:eastAsia="Arial" w:hAnsi="Arial" w:cs="Arial"/>
                <w:sz w:val="18"/>
              </w:rPr>
            </w:pPr>
            <w:r w:rsidRPr="005C203E">
              <w:rPr>
                <w:rFonts w:ascii="Arial" w:hAnsi="Arial" w:cs="Arial"/>
                <w:sz w:val="18"/>
              </w:rPr>
              <w:t>47</w:t>
            </w:r>
          </w:p>
        </w:tc>
        <w:tc>
          <w:tcPr>
            <w:tcW w:w="301" w:type="pct"/>
            <w:tcBorders>
              <w:left w:val="single" w:sz="4" w:space="0" w:color="auto"/>
            </w:tcBorders>
          </w:tcPr>
          <w:p w14:paraId="14D253D5" w14:textId="0AEFB958" w:rsidR="002C2D49" w:rsidRPr="005C203E" w:rsidRDefault="002C2D49" w:rsidP="002C2D49">
            <w:pPr>
              <w:spacing w:before="40" w:after="40"/>
              <w:jc w:val="center"/>
              <w:rPr>
                <w:rFonts w:ascii="Arial" w:eastAsia="Arial" w:hAnsi="Arial" w:cs="Arial"/>
                <w:sz w:val="18"/>
              </w:rPr>
            </w:pPr>
            <w:r w:rsidRPr="005C203E">
              <w:rPr>
                <w:rFonts w:ascii="Arial" w:hAnsi="Arial" w:cs="Arial"/>
                <w:sz w:val="18"/>
              </w:rPr>
              <w:t>3</w:t>
            </w:r>
          </w:p>
        </w:tc>
        <w:tc>
          <w:tcPr>
            <w:tcW w:w="1799" w:type="pct"/>
            <w:tcBorders>
              <w:top w:val="single" w:sz="4" w:space="0" w:color="auto"/>
              <w:bottom w:val="single" w:sz="4" w:space="0" w:color="auto"/>
            </w:tcBorders>
          </w:tcPr>
          <w:p w14:paraId="63E6C40E" w14:textId="29A61380" w:rsidR="002C2D49" w:rsidRPr="005C203E" w:rsidRDefault="002C2D49" w:rsidP="002C2D49">
            <w:pPr>
              <w:spacing w:before="40" w:after="40"/>
              <w:rPr>
                <w:rFonts w:ascii="Arial" w:eastAsia="Arial" w:hAnsi="Arial" w:cs="Arial"/>
                <w:sz w:val="18"/>
              </w:rPr>
            </w:pPr>
            <w:r w:rsidRPr="005C203E">
              <w:rPr>
                <w:rFonts w:ascii="Arial" w:hAnsi="Arial" w:cs="Arial"/>
                <w:sz w:val="18"/>
              </w:rPr>
              <w:t>Combustion of natural gas or propane</w:t>
            </w:r>
          </w:p>
        </w:tc>
        <w:tc>
          <w:tcPr>
            <w:tcW w:w="649" w:type="pct"/>
            <w:tcBorders>
              <w:top w:val="single" w:sz="4" w:space="0" w:color="auto"/>
              <w:bottom w:val="single" w:sz="4" w:space="0" w:color="auto"/>
            </w:tcBorders>
          </w:tcPr>
          <w:p w14:paraId="26FC3756" w14:textId="6346E79F" w:rsidR="002C2D49" w:rsidRPr="005C203E" w:rsidRDefault="002C2D49" w:rsidP="002C2D49">
            <w:pPr>
              <w:spacing w:before="40" w:after="40"/>
              <w:rPr>
                <w:rFonts w:ascii="Arial" w:eastAsia="Arial" w:hAnsi="Arial" w:cs="Arial"/>
                <w:sz w:val="18"/>
              </w:rPr>
            </w:pPr>
            <w:r w:rsidRPr="005C203E">
              <w:rPr>
                <w:rFonts w:ascii="Arial" w:hAnsi="Arial" w:cs="Arial"/>
                <w:sz w:val="18"/>
              </w:rPr>
              <w:t>Any</w:t>
            </w:r>
          </w:p>
        </w:tc>
        <w:tc>
          <w:tcPr>
            <w:tcW w:w="649" w:type="pct"/>
            <w:tcBorders>
              <w:top w:val="single" w:sz="4" w:space="0" w:color="auto"/>
              <w:bottom w:val="single" w:sz="4" w:space="0" w:color="auto"/>
            </w:tcBorders>
          </w:tcPr>
          <w:p w14:paraId="34E3A773" w14:textId="32309B99" w:rsidR="002C2D49" w:rsidRPr="005C203E" w:rsidRDefault="002C2D49" w:rsidP="002C2D49">
            <w:pPr>
              <w:spacing w:before="40" w:after="40"/>
              <w:rPr>
                <w:rFonts w:ascii="Arial" w:eastAsia="Arial" w:hAnsi="Arial" w:cs="Arial"/>
                <w:sz w:val="18"/>
              </w:rPr>
            </w:pPr>
            <w:r w:rsidRPr="005C203E">
              <w:rPr>
                <w:rFonts w:ascii="Arial" w:hAnsi="Arial" w:cs="Arial"/>
                <w:sz w:val="18"/>
              </w:rPr>
              <w:t>Any</w:t>
            </w:r>
          </w:p>
        </w:tc>
        <w:tc>
          <w:tcPr>
            <w:tcW w:w="1301" w:type="pct"/>
            <w:tcBorders>
              <w:top w:val="single" w:sz="4" w:space="0" w:color="auto"/>
              <w:bottom w:val="single" w:sz="4" w:space="0" w:color="auto"/>
              <w:right w:val="single" w:sz="12" w:space="0" w:color="auto"/>
            </w:tcBorders>
          </w:tcPr>
          <w:p w14:paraId="1C9BAC03" w14:textId="303D3C15" w:rsidR="002C2D49" w:rsidRPr="005C203E" w:rsidRDefault="002C2D49" w:rsidP="002C2D49">
            <w:pPr>
              <w:spacing w:before="40" w:after="40"/>
              <w:rPr>
                <w:rFonts w:ascii="Arial" w:eastAsia="Arial" w:hAnsi="Arial" w:cs="Arial"/>
                <w:sz w:val="18"/>
              </w:rPr>
            </w:pPr>
            <w:r w:rsidRPr="005C203E">
              <w:rPr>
                <w:rFonts w:ascii="Arial" w:hAnsi="Arial" w:cs="Arial"/>
                <w:sz w:val="18"/>
              </w:rPr>
              <w:t xml:space="preserve">75 million standard cubic feet or 77,000 </w:t>
            </w:r>
            <w:proofErr w:type="spellStart"/>
            <w:r w:rsidRPr="005C203E">
              <w:rPr>
                <w:rFonts w:ascii="Arial" w:hAnsi="Arial" w:cs="Arial"/>
                <w:sz w:val="18"/>
              </w:rPr>
              <w:t>MMbtu</w:t>
            </w:r>
            <w:proofErr w:type="spellEnd"/>
            <w:r w:rsidRPr="005C203E">
              <w:rPr>
                <w:rFonts w:ascii="Arial" w:hAnsi="Arial" w:cs="Arial"/>
                <w:sz w:val="18"/>
              </w:rPr>
              <w:t xml:space="preserve"> combusted per year</w:t>
            </w:r>
          </w:p>
        </w:tc>
      </w:tr>
      <w:tr w:rsidR="002C2D49" w:rsidRPr="00BE1599" w14:paraId="3324E738" w14:textId="77777777" w:rsidTr="00BE1599">
        <w:trPr>
          <w:cantSplit/>
          <w:trHeight w:val="504"/>
        </w:trPr>
        <w:tc>
          <w:tcPr>
            <w:tcW w:w="301" w:type="pct"/>
            <w:tcBorders>
              <w:left w:val="single" w:sz="12" w:space="0" w:color="auto"/>
              <w:right w:val="single" w:sz="4" w:space="0" w:color="auto"/>
            </w:tcBorders>
          </w:tcPr>
          <w:p w14:paraId="091351FF" w14:textId="77777777"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48</w:t>
            </w:r>
          </w:p>
        </w:tc>
        <w:tc>
          <w:tcPr>
            <w:tcW w:w="301" w:type="pct"/>
            <w:tcBorders>
              <w:left w:val="single" w:sz="4" w:space="0" w:color="auto"/>
            </w:tcBorders>
          </w:tcPr>
          <w:p w14:paraId="453D491A" w14:textId="7F5870E9"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3B</w:t>
            </w:r>
          </w:p>
        </w:tc>
        <w:tc>
          <w:tcPr>
            <w:tcW w:w="1799" w:type="pct"/>
            <w:tcBorders>
              <w:top w:val="single" w:sz="4" w:space="0" w:color="auto"/>
              <w:bottom w:val="single" w:sz="4" w:space="0" w:color="auto"/>
            </w:tcBorders>
          </w:tcPr>
          <w:p w14:paraId="5B2A3D64"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Collection and disposal of refuse</w:t>
            </w:r>
          </w:p>
        </w:tc>
        <w:tc>
          <w:tcPr>
            <w:tcW w:w="649" w:type="pct"/>
            <w:tcBorders>
              <w:top w:val="single" w:sz="4" w:space="0" w:color="auto"/>
              <w:bottom w:val="single" w:sz="4" w:space="0" w:color="auto"/>
            </w:tcBorders>
          </w:tcPr>
          <w:p w14:paraId="7E820216"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4953</w:t>
            </w:r>
          </w:p>
        </w:tc>
        <w:tc>
          <w:tcPr>
            <w:tcW w:w="649" w:type="pct"/>
            <w:tcBorders>
              <w:top w:val="single" w:sz="4" w:space="0" w:color="auto"/>
              <w:bottom w:val="single" w:sz="4" w:space="0" w:color="auto"/>
            </w:tcBorders>
          </w:tcPr>
          <w:p w14:paraId="5C97013F"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5622xx, 562920</w:t>
            </w:r>
          </w:p>
        </w:tc>
        <w:tc>
          <w:tcPr>
            <w:tcW w:w="1301" w:type="pct"/>
            <w:tcBorders>
              <w:top w:val="single" w:sz="4" w:space="0" w:color="auto"/>
              <w:bottom w:val="single" w:sz="4" w:space="0" w:color="auto"/>
              <w:right w:val="single" w:sz="12" w:space="0" w:color="auto"/>
            </w:tcBorders>
          </w:tcPr>
          <w:p w14:paraId="2817C673"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1 pound of vinyl chloride or 1 pound of benzene emitted per year</w:t>
            </w:r>
          </w:p>
        </w:tc>
      </w:tr>
      <w:tr w:rsidR="002C2D49" w:rsidRPr="00BE1599" w14:paraId="74E23982" w14:textId="77777777" w:rsidTr="00BE1599">
        <w:trPr>
          <w:cantSplit/>
          <w:trHeight w:val="504"/>
        </w:trPr>
        <w:tc>
          <w:tcPr>
            <w:tcW w:w="301" w:type="pct"/>
            <w:tcBorders>
              <w:left w:val="single" w:sz="12" w:space="0" w:color="auto"/>
              <w:right w:val="single" w:sz="4" w:space="0" w:color="auto"/>
            </w:tcBorders>
          </w:tcPr>
          <w:p w14:paraId="29C72716" w14:textId="77777777"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49</w:t>
            </w:r>
          </w:p>
        </w:tc>
        <w:tc>
          <w:tcPr>
            <w:tcW w:w="301" w:type="pct"/>
            <w:tcBorders>
              <w:left w:val="single" w:sz="4" w:space="0" w:color="auto"/>
            </w:tcBorders>
          </w:tcPr>
          <w:p w14:paraId="5833455E" w14:textId="0945B44B"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3B</w:t>
            </w:r>
          </w:p>
        </w:tc>
        <w:tc>
          <w:tcPr>
            <w:tcW w:w="1799" w:type="pct"/>
            <w:tcBorders>
              <w:top w:val="single" w:sz="4" w:space="0" w:color="auto"/>
              <w:bottom w:val="single" w:sz="4" w:space="0" w:color="auto"/>
            </w:tcBorders>
          </w:tcPr>
          <w:p w14:paraId="41F900D6"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Composting of organic waste</w:t>
            </w:r>
          </w:p>
        </w:tc>
        <w:tc>
          <w:tcPr>
            <w:tcW w:w="649" w:type="pct"/>
            <w:tcBorders>
              <w:top w:val="single" w:sz="4" w:space="0" w:color="auto"/>
              <w:bottom w:val="single" w:sz="4" w:space="0" w:color="auto"/>
            </w:tcBorders>
          </w:tcPr>
          <w:p w14:paraId="08A1FBD8"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2875, 4953</w:t>
            </w:r>
          </w:p>
        </w:tc>
        <w:tc>
          <w:tcPr>
            <w:tcW w:w="649" w:type="pct"/>
            <w:tcBorders>
              <w:top w:val="single" w:sz="4" w:space="0" w:color="auto"/>
              <w:bottom w:val="single" w:sz="4" w:space="0" w:color="auto"/>
            </w:tcBorders>
          </w:tcPr>
          <w:p w14:paraId="494748BD"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325314, 562212, 562219</w:t>
            </w:r>
          </w:p>
        </w:tc>
        <w:tc>
          <w:tcPr>
            <w:tcW w:w="1301" w:type="pct"/>
            <w:tcBorders>
              <w:top w:val="single" w:sz="4" w:space="0" w:color="auto"/>
              <w:bottom w:val="single" w:sz="4" w:space="0" w:color="auto"/>
              <w:right w:val="single" w:sz="12" w:space="0" w:color="auto"/>
            </w:tcBorders>
          </w:tcPr>
          <w:p w14:paraId="4EBE4823" w14:textId="5B9E34AB" w:rsidR="002C2D49" w:rsidRPr="005C203E" w:rsidRDefault="002C2D49" w:rsidP="002C2D49">
            <w:pPr>
              <w:spacing w:before="40" w:after="40"/>
              <w:rPr>
                <w:rFonts w:ascii="Arial" w:eastAsia="Arial" w:hAnsi="Arial" w:cs="Arial"/>
                <w:dstrike/>
                <w:sz w:val="18"/>
              </w:rPr>
            </w:pPr>
            <w:r w:rsidRPr="005C203E">
              <w:rPr>
                <w:rFonts w:ascii="Arial" w:eastAsia="Arial" w:hAnsi="Arial" w:cs="Arial"/>
                <w:sz w:val="18"/>
              </w:rPr>
              <w:t>Over 500 tons per year of material composted</w:t>
            </w:r>
          </w:p>
        </w:tc>
      </w:tr>
      <w:tr w:rsidR="002C2D49" w:rsidRPr="00BE1599" w14:paraId="37A9CC49" w14:textId="77777777" w:rsidTr="00BE1599">
        <w:trPr>
          <w:cantSplit/>
          <w:trHeight w:val="504"/>
        </w:trPr>
        <w:tc>
          <w:tcPr>
            <w:tcW w:w="301" w:type="pct"/>
            <w:tcBorders>
              <w:left w:val="single" w:sz="12" w:space="0" w:color="auto"/>
              <w:right w:val="single" w:sz="4" w:space="0" w:color="auto"/>
            </w:tcBorders>
          </w:tcPr>
          <w:p w14:paraId="25C5256B" w14:textId="77777777"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50</w:t>
            </w:r>
          </w:p>
        </w:tc>
        <w:tc>
          <w:tcPr>
            <w:tcW w:w="301" w:type="pct"/>
            <w:tcBorders>
              <w:left w:val="single" w:sz="4" w:space="0" w:color="auto"/>
            </w:tcBorders>
          </w:tcPr>
          <w:p w14:paraId="173930A6" w14:textId="524BAA78"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3B</w:t>
            </w:r>
          </w:p>
        </w:tc>
        <w:tc>
          <w:tcPr>
            <w:tcW w:w="1799" w:type="pct"/>
            <w:tcBorders>
              <w:top w:val="single" w:sz="4" w:space="0" w:color="auto"/>
              <w:bottom w:val="single" w:sz="4" w:space="0" w:color="auto"/>
            </w:tcBorders>
          </w:tcPr>
          <w:p w14:paraId="080BFB51"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Recycling facilities, and material recovery facilities that separate organic waste from recyclable materials</w:t>
            </w:r>
          </w:p>
        </w:tc>
        <w:tc>
          <w:tcPr>
            <w:tcW w:w="649" w:type="pct"/>
            <w:tcBorders>
              <w:top w:val="single" w:sz="4" w:space="0" w:color="auto"/>
              <w:bottom w:val="single" w:sz="4" w:space="0" w:color="auto"/>
            </w:tcBorders>
          </w:tcPr>
          <w:p w14:paraId="4EB50FF1"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4953</w:t>
            </w:r>
          </w:p>
        </w:tc>
        <w:tc>
          <w:tcPr>
            <w:tcW w:w="649" w:type="pct"/>
            <w:tcBorders>
              <w:top w:val="single" w:sz="4" w:space="0" w:color="auto"/>
              <w:bottom w:val="single" w:sz="4" w:space="0" w:color="auto"/>
            </w:tcBorders>
          </w:tcPr>
          <w:p w14:paraId="13316F43"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562212, 562920</w:t>
            </w:r>
          </w:p>
        </w:tc>
        <w:tc>
          <w:tcPr>
            <w:tcW w:w="1301" w:type="pct"/>
            <w:tcBorders>
              <w:top w:val="single" w:sz="4" w:space="0" w:color="auto"/>
              <w:bottom w:val="single" w:sz="4" w:space="0" w:color="auto"/>
              <w:right w:val="single" w:sz="12" w:space="0" w:color="auto"/>
            </w:tcBorders>
          </w:tcPr>
          <w:p w14:paraId="6A862797" w14:textId="43FBE7B4" w:rsidR="002C2D49" w:rsidRPr="005C203E" w:rsidRDefault="002C2D49" w:rsidP="002C2D49">
            <w:pPr>
              <w:spacing w:before="40" w:after="40"/>
              <w:rPr>
                <w:rFonts w:ascii="Arial" w:eastAsia="Arial" w:hAnsi="Arial" w:cs="Arial"/>
                <w:dstrike/>
                <w:sz w:val="18"/>
              </w:rPr>
            </w:pPr>
            <w:r w:rsidRPr="005C203E">
              <w:rPr>
                <w:rFonts w:ascii="Arial" w:eastAsia="Arial" w:hAnsi="Arial" w:cs="Arial"/>
                <w:sz w:val="18"/>
              </w:rPr>
              <w:t xml:space="preserve">Facilities where </w:t>
            </w:r>
            <w:r w:rsidR="002652FD" w:rsidRPr="005C203E">
              <w:rPr>
                <w:rFonts w:ascii="Arial" w:eastAsia="Arial" w:hAnsi="Arial" w:cs="Arial"/>
                <w:sz w:val="18"/>
              </w:rPr>
              <w:t xml:space="preserve">putrescible </w:t>
            </w:r>
            <w:r w:rsidRPr="005C203E">
              <w:rPr>
                <w:rFonts w:ascii="Arial" w:eastAsia="Arial" w:hAnsi="Arial" w:cs="Arial"/>
                <w:sz w:val="18"/>
              </w:rPr>
              <w:t>material is retained on-site for more than 24 hours prior to removal or disposal in a landfill</w:t>
            </w:r>
          </w:p>
        </w:tc>
      </w:tr>
      <w:tr w:rsidR="002C2D49" w:rsidRPr="00BE1599" w14:paraId="23F80AC8" w14:textId="77777777" w:rsidTr="00BE1599">
        <w:trPr>
          <w:cantSplit/>
          <w:trHeight w:val="504"/>
        </w:trPr>
        <w:tc>
          <w:tcPr>
            <w:tcW w:w="301" w:type="pct"/>
            <w:tcBorders>
              <w:left w:val="single" w:sz="12" w:space="0" w:color="auto"/>
              <w:right w:val="single" w:sz="4" w:space="0" w:color="auto"/>
            </w:tcBorders>
          </w:tcPr>
          <w:p w14:paraId="080ECCBD" w14:textId="77777777"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lastRenderedPageBreak/>
              <w:t>51</w:t>
            </w:r>
          </w:p>
        </w:tc>
        <w:tc>
          <w:tcPr>
            <w:tcW w:w="301" w:type="pct"/>
            <w:tcBorders>
              <w:left w:val="single" w:sz="4" w:space="0" w:color="auto"/>
            </w:tcBorders>
          </w:tcPr>
          <w:p w14:paraId="3AD11553" w14:textId="2FFE7A20"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3B</w:t>
            </w:r>
          </w:p>
        </w:tc>
        <w:tc>
          <w:tcPr>
            <w:tcW w:w="1799" w:type="pct"/>
            <w:tcBorders>
              <w:top w:val="single" w:sz="4" w:space="0" w:color="auto"/>
              <w:bottom w:val="single" w:sz="4" w:space="0" w:color="auto"/>
            </w:tcBorders>
          </w:tcPr>
          <w:p w14:paraId="022BE081"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Scrap and waste wholesale handling and recycling, including but not limited to junk metals, shredding operations, and auto dismantling</w:t>
            </w:r>
          </w:p>
        </w:tc>
        <w:tc>
          <w:tcPr>
            <w:tcW w:w="649" w:type="pct"/>
            <w:tcBorders>
              <w:top w:val="single" w:sz="4" w:space="0" w:color="auto"/>
              <w:bottom w:val="single" w:sz="4" w:space="0" w:color="auto"/>
            </w:tcBorders>
          </w:tcPr>
          <w:p w14:paraId="6850760C"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5093</w:t>
            </w:r>
          </w:p>
        </w:tc>
        <w:tc>
          <w:tcPr>
            <w:tcW w:w="649" w:type="pct"/>
            <w:tcBorders>
              <w:top w:val="single" w:sz="4" w:space="0" w:color="auto"/>
              <w:bottom w:val="single" w:sz="4" w:space="0" w:color="auto"/>
            </w:tcBorders>
          </w:tcPr>
          <w:p w14:paraId="71CDAB9C"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423930</w:t>
            </w:r>
          </w:p>
        </w:tc>
        <w:tc>
          <w:tcPr>
            <w:tcW w:w="1301" w:type="pct"/>
            <w:tcBorders>
              <w:top w:val="single" w:sz="4" w:space="0" w:color="auto"/>
              <w:bottom w:val="single" w:sz="4" w:space="0" w:color="auto"/>
              <w:right w:val="single" w:sz="12" w:space="0" w:color="auto"/>
            </w:tcBorders>
          </w:tcPr>
          <w:p w14:paraId="7A3D7D2C" w14:textId="77777777"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 xml:space="preserve">40,000 tons of metal shredded per year or 1,000 tons of metal recycled per year </w:t>
            </w:r>
          </w:p>
        </w:tc>
      </w:tr>
      <w:tr w:rsidR="002C2D49" w:rsidRPr="00BE1599" w14:paraId="2DD2FB65" w14:textId="77777777" w:rsidTr="008862AB">
        <w:trPr>
          <w:cantSplit/>
          <w:trHeight w:val="504"/>
        </w:trPr>
        <w:tc>
          <w:tcPr>
            <w:tcW w:w="301" w:type="pct"/>
            <w:tcBorders>
              <w:left w:val="single" w:sz="12" w:space="0" w:color="auto"/>
              <w:right w:val="single" w:sz="4" w:space="0" w:color="auto"/>
            </w:tcBorders>
          </w:tcPr>
          <w:p w14:paraId="7DC24FA1" w14:textId="77777777"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52</w:t>
            </w:r>
          </w:p>
        </w:tc>
        <w:tc>
          <w:tcPr>
            <w:tcW w:w="301" w:type="pct"/>
            <w:tcBorders>
              <w:left w:val="single" w:sz="4" w:space="0" w:color="auto"/>
            </w:tcBorders>
          </w:tcPr>
          <w:p w14:paraId="2275BD70" w14:textId="1790DA01"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3B</w:t>
            </w:r>
          </w:p>
        </w:tc>
        <w:tc>
          <w:tcPr>
            <w:tcW w:w="1799" w:type="pct"/>
            <w:tcBorders>
              <w:top w:val="single" w:sz="4" w:space="0" w:color="auto"/>
              <w:bottom w:val="single" w:sz="4" w:space="0" w:color="auto"/>
            </w:tcBorders>
          </w:tcPr>
          <w:p w14:paraId="19F14589" w14:textId="31F4B816" w:rsidR="002C2D49" w:rsidRPr="005C203E" w:rsidRDefault="00D566BA" w:rsidP="002C2D49">
            <w:pPr>
              <w:spacing w:before="40" w:after="40"/>
              <w:rPr>
                <w:rFonts w:ascii="Arial" w:eastAsia="Arial" w:hAnsi="Arial" w:cs="Arial"/>
                <w:dstrike/>
                <w:sz w:val="18"/>
              </w:rPr>
            </w:pPr>
            <w:r w:rsidRPr="005C203E">
              <w:rPr>
                <w:rFonts w:ascii="Arial" w:eastAsia="Arial" w:hAnsi="Arial" w:cs="Arial"/>
                <w:sz w:val="18"/>
              </w:rPr>
              <w:t>Wastewater treatment at wastewater treatment plants</w:t>
            </w:r>
            <w:r w:rsidRPr="005C203E">
              <w:rPr>
                <w:rStyle w:val="FootnoteReference"/>
                <w:rFonts w:ascii="Arial" w:eastAsia="Arial" w:hAnsi="Arial" w:cs="Arial"/>
                <w:sz w:val="18"/>
              </w:rPr>
              <w:footnoteReference w:id="2"/>
            </w:r>
            <w:r w:rsidRPr="005C203E">
              <w:rPr>
                <w:rFonts w:ascii="Arial" w:eastAsia="Arial" w:hAnsi="Arial" w:cs="Arial"/>
                <w:sz w:val="18"/>
              </w:rPr>
              <w:t>, including incineration of sludge</w:t>
            </w:r>
          </w:p>
        </w:tc>
        <w:tc>
          <w:tcPr>
            <w:tcW w:w="649" w:type="pct"/>
            <w:tcBorders>
              <w:top w:val="single" w:sz="4" w:space="0" w:color="auto"/>
              <w:bottom w:val="single" w:sz="4" w:space="0" w:color="auto"/>
            </w:tcBorders>
          </w:tcPr>
          <w:p w14:paraId="5805560F" w14:textId="01E68D2B" w:rsidR="002C2D49" w:rsidRPr="005C203E" w:rsidRDefault="00D566BA" w:rsidP="002C2D49">
            <w:pPr>
              <w:spacing w:before="40" w:after="40"/>
              <w:rPr>
                <w:rFonts w:ascii="Arial" w:eastAsia="Arial" w:hAnsi="Arial" w:cs="Arial"/>
                <w:dstrike/>
                <w:sz w:val="18"/>
              </w:rPr>
            </w:pPr>
            <w:r w:rsidRPr="005C203E">
              <w:rPr>
                <w:rFonts w:ascii="Arial" w:eastAsia="Arial" w:hAnsi="Arial" w:cs="Arial"/>
                <w:sz w:val="18"/>
              </w:rPr>
              <w:t>4952</w:t>
            </w:r>
          </w:p>
        </w:tc>
        <w:tc>
          <w:tcPr>
            <w:tcW w:w="649" w:type="pct"/>
            <w:tcBorders>
              <w:top w:val="single" w:sz="4" w:space="0" w:color="auto"/>
              <w:bottom w:val="single" w:sz="4" w:space="0" w:color="auto"/>
            </w:tcBorders>
          </w:tcPr>
          <w:p w14:paraId="5FC36D9E" w14:textId="2F085D9D" w:rsidR="002C2D49" w:rsidRPr="005C203E" w:rsidRDefault="00D566BA" w:rsidP="002C2D49">
            <w:pPr>
              <w:spacing w:before="40" w:after="40"/>
              <w:rPr>
                <w:rFonts w:ascii="Arial" w:eastAsia="Arial" w:hAnsi="Arial" w:cs="Arial"/>
                <w:dstrike/>
                <w:sz w:val="18"/>
              </w:rPr>
            </w:pPr>
            <w:r w:rsidRPr="005C203E">
              <w:rPr>
                <w:rFonts w:ascii="Arial" w:eastAsia="Arial" w:hAnsi="Arial" w:cs="Arial"/>
                <w:sz w:val="18"/>
              </w:rPr>
              <w:t>221320</w:t>
            </w:r>
          </w:p>
        </w:tc>
        <w:tc>
          <w:tcPr>
            <w:tcW w:w="1301" w:type="pct"/>
            <w:tcBorders>
              <w:top w:val="single" w:sz="4" w:space="0" w:color="auto"/>
              <w:bottom w:val="single" w:sz="4" w:space="0" w:color="auto"/>
              <w:right w:val="single" w:sz="12" w:space="0" w:color="auto"/>
            </w:tcBorders>
          </w:tcPr>
          <w:p w14:paraId="3B85D343" w14:textId="77777777" w:rsidR="00D566BA" w:rsidRPr="005C203E" w:rsidRDefault="00D566BA" w:rsidP="00D566BA">
            <w:pPr>
              <w:spacing w:before="40" w:after="40"/>
              <w:rPr>
                <w:rFonts w:ascii="Arial" w:eastAsia="Arial" w:hAnsi="Arial" w:cs="Arial"/>
                <w:sz w:val="18"/>
              </w:rPr>
            </w:pPr>
            <w:r w:rsidRPr="005C203E">
              <w:rPr>
                <w:rFonts w:ascii="Arial" w:eastAsia="Arial" w:hAnsi="Arial" w:cs="Arial"/>
                <w:sz w:val="18"/>
              </w:rPr>
              <w:t xml:space="preserve">Covered systems: 10 million gallons annual average daily flow. </w:t>
            </w:r>
          </w:p>
          <w:p w14:paraId="180685F0" w14:textId="77777777" w:rsidR="00D566BA" w:rsidRPr="005C203E" w:rsidRDefault="00D566BA" w:rsidP="00D566BA">
            <w:pPr>
              <w:spacing w:before="40" w:after="40"/>
              <w:rPr>
                <w:rFonts w:ascii="Arial" w:eastAsia="Arial" w:hAnsi="Arial" w:cs="Arial"/>
                <w:sz w:val="18"/>
              </w:rPr>
            </w:pPr>
            <w:r w:rsidRPr="005C203E">
              <w:rPr>
                <w:rFonts w:ascii="Arial" w:eastAsia="Arial" w:hAnsi="Arial" w:cs="Arial"/>
                <w:sz w:val="18"/>
              </w:rPr>
              <w:t>Uncovered systems: 5 million gallons annual average daily flow.</w:t>
            </w:r>
          </w:p>
          <w:p w14:paraId="67511D03" w14:textId="2BBD0147" w:rsidR="002C2D49" w:rsidRPr="005C203E" w:rsidRDefault="00D566BA" w:rsidP="00D566BA">
            <w:pPr>
              <w:spacing w:before="40" w:after="40"/>
              <w:rPr>
                <w:rFonts w:ascii="Arial" w:eastAsia="Arial" w:hAnsi="Arial" w:cs="Arial"/>
                <w:dstrike/>
                <w:sz w:val="18"/>
              </w:rPr>
            </w:pPr>
            <w:r w:rsidRPr="005C203E">
              <w:rPr>
                <w:rFonts w:ascii="Arial" w:eastAsia="Arial" w:hAnsi="Arial" w:cs="Arial"/>
                <w:sz w:val="18"/>
              </w:rPr>
              <w:t>Facilities that incinerate sludge: Any activity level</w:t>
            </w:r>
            <w:r w:rsidR="004539E3" w:rsidRPr="005C203E">
              <w:rPr>
                <w:rFonts w:ascii="Arial" w:eastAsia="Arial" w:hAnsi="Arial" w:cs="Arial"/>
                <w:sz w:val="18"/>
              </w:rPr>
              <w:t>.</w:t>
            </w:r>
          </w:p>
        </w:tc>
      </w:tr>
      <w:tr w:rsidR="002C2D49" w:rsidRPr="00BE1599" w14:paraId="783D426A" w14:textId="77777777" w:rsidTr="00BE1599">
        <w:trPr>
          <w:cantSplit/>
          <w:trHeight w:val="504"/>
        </w:trPr>
        <w:tc>
          <w:tcPr>
            <w:tcW w:w="301" w:type="pct"/>
            <w:tcBorders>
              <w:left w:val="single" w:sz="12" w:space="0" w:color="auto"/>
              <w:bottom w:val="single" w:sz="12" w:space="0" w:color="auto"/>
              <w:right w:val="single" w:sz="4" w:space="0" w:color="auto"/>
            </w:tcBorders>
          </w:tcPr>
          <w:p w14:paraId="29C22A25" w14:textId="31A5E393"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53</w:t>
            </w:r>
          </w:p>
        </w:tc>
        <w:tc>
          <w:tcPr>
            <w:tcW w:w="301" w:type="pct"/>
            <w:tcBorders>
              <w:left w:val="single" w:sz="4" w:space="0" w:color="auto"/>
              <w:bottom w:val="single" w:sz="12" w:space="0" w:color="auto"/>
            </w:tcBorders>
          </w:tcPr>
          <w:p w14:paraId="18D7850A" w14:textId="532FAC46" w:rsidR="002C2D49" w:rsidRPr="005C203E" w:rsidRDefault="002C2D49" w:rsidP="002C2D49">
            <w:pPr>
              <w:spacing w:before="40" w:after="40"/>
              <w:jc w:val="center"/>
              <w:rPr>
                <w:rFonts w:ascii="Arial" w:eastAsia="Arial" w:hAnsi="Arial" w:cs="Arial"/>
                <w:sz w:val="18"/>
              </w:rPr>
            </w:pPr>
            <w:r w:rsidRPr="005C203E">
              <w:rPr>
                <w:rFonts w:ascii="Arial" w:eastAsia="Arial" w:hAnsi="Arial" w:cs="Arial"/>
                <w:sz w:val="18"/>
              </w:rPr>
              <w:t>Any</w:t>
            </w:r>
          </w:p>
        </w:tc>
        <w:tc>
          <w:tcPr>
            <w:tcW w:w="1799" w:type="pct"/>
            <w:tcBorders>
              <w:top w:val="single" w:sz="4" w:space="0" w:color="auto"/>
              <w:bottom w:val="single" w:sz="12" w:space="0" w:color="auto"/>
            </w:tcBorders>
          </w:tcPr>
          <w:p w14:paraId="01A631C3" w14:textId="5FDCD6F9" w:rsidR="002C2D49" w:rsidRPr="005C203E" w:rsidRDefault="002C2D49" w:rsidP="002C2D49">
            <w:pPr>
              <w:rPr>
                <w:sz w:val="24"/>
                <w:szCs w:val="24"/>
              </w:rPr>
            </w:pPr>
            <w:r w:rsidRPr="005C203E">
              <w:rPr>
                <w:rFonts w:ascii="Arial" w:eastAsia="Arial" w:hAnsi="Arial" w:cs="Arial"/>
                <w:sz w:val="18"/>
                <w:szCs w:val="18"/>
              </w:rPr>
              <w:t xml:space="preserve">Facilities identified by districts under </w:t>
            </w:r>
            <w:r w:rsidR="00E770C2" w:rsidRPr="005C203E">
              <w:rPr>
                <w:rFonts w:ascii="Arial" w:eastAsia="Arial" w:hAnsi="Arial" w:cs="Arial"/>
                <w:sz w:val="18"/>
                <w:szCs w:val="18"/>
              </w:rPr>
              <w:t>S</w:t>
            </w:r>
            <w:r w:rsidRPr="005C203E">
              <w:rPr>
                <w:rFonts w:ascii="Arial" w:eastAsia="Arial" w:hAnsi="Arial" w:cs="Arial"/>
                <w:sz w:val="18"/>
                <w:szCs w:val="18"/>
              </w:rPr>
              <w:t>ection II.E.(3)(a)</w:t>
            </w:r>
          </w:p>
          <w:p w14:paraId="1F17A1EF" w14:textId="77777777" w:rsidR="002C2D49" w:rsidRPr="005C203E" w:rsidRDefault="002C2D49" w:rsidP="002C2D49">
            <w:pPr>
              <w:spacing w:before="40" w:after="40"/>
              <w:rPr>
                <w:rFonts w:ascii="Arial" w:eastAsia="Arial" w:hAnsi="Arial" w:cs="Arial"/>
                <w:sz w:val="18"/>
              </w:rPr>
            </w:pPr>
          </w:p>
        </w:tc>
        <w:tc>
          <w:tcPr>
            <w:tcW w:w="649" w:type="pct"/>
            <w:tcBorders>
              <w:top w:val="single" w:sz="4" w:space="0" w:color="auto"/>
              <w:bottom w:val="single" w:sz="12" w:space="0" w:color="auto"/>
            </w:tcBorders>
          </w:tcPr>
          <w:p w14:paraId="68AC045F" w14:textId="4B99DD9B"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Any</w:t>
            </w:r>
          </w:p>
        </w:tc>
        <w:tc>
          <w:tcPr>
            <w:tcW w:w="649" w:type="pct"/>
            <w:tcBorders>
              <w:top w:val="single" w:sz="4" w:space="0" w:color="auto"/>
              <w:bottom w:val="single" w:sz="12" w:space="0" w:color="auto"/>
            </w:tcBorders>
          </w:tcPr>
          <w:p w14:paraId="2A309358" w14:textId="51D4601A"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Any</w:t>
            </w:r>
          </w:p>
        </w:tc>
        <w:tc>
          <w:tcPr>
            <w:tcW w:w="1301" w:type="pct"/>
            <w:tcBorders>
              <w:top w:val="single" w:sz="4" w:space="0" w:color="auto"/>
              <w:bottom w:val="single" w:sz="12" w:space="0" w:color="auto"/>
              <w:right w:val="single" w:sz="12" w:space="0" w:color="auto"/>
            </w:tcBorders>
          </w:tcPr>
          <w:p w14:paraId="249160DA" w14:textId="31C42B3F" w:rsidR="002C2D49" w:rsidRPr="005C203E" w:rsidRDefault="002C2D49" w:rsidP="002C2D49">
            <w:pPr>
              <w:spacing w:before="40" w:after="40"/>
              <w:rPr>
                <w:rFonts w:ascii="Arial" w:eastAsia="Arial" w:hAnsi="Arial" w:cs="Arial"/>
                <w:sz w:val="18"/>
              </w:rPr>
            </w:pPr>
            <w:r w:rsidRPr="005C203E">
              <w:rPr>
                <w:rFonts w:ascii="Arial" w:eastAsia="Arial" w:hAnsi="Arial" w:cs="Arial"/>
                <w:sz w:val="18"/>
              </w:rPr>
              <w:t>Any activity level identified by the district under section II.E</w:t>
            </w:r>
            <w:r w:rsidRPr="005C203E">
              <w:rPr>
                <w:rFonts w:ascii="Arial" w:eastAsia="Arial" w:hAnsi="Arial" w:cs="Arial"/>
                <w:sz w:val="18"/>
                <w:szCs w:val="18"/>
              </w:rPr>
              <w:t>.(3)(a).</w:t>
            </w:r>
          </w:p>
        </w:tc>
      </w:tr>
    </w:tbl>
    <w:p w14:paraId="12031C79" w14:textId="77777777" w:rsidR="00AA1BA3" w:rsidRPr="00B101ED" w:rsidRDefault="00AA1BA3" w:rsidP="00B101ED">
      <w:pPr>
        <w:tabs>
          <w:tab w:val="left" w:pos="0"/>
          <w:tab w:val="left" w:pos="720"/>
          <w:tab w:val="left" w:pos="1170"/>
          <w:tab w:val="left" w:pos="2880"/>
        </w:tabs>
        <w:suppressAutoHyphens/>
        <w:spacing w:after="0" w:line="240" w:lineRule="auto"/>
        <w:ind w:left="2880" w:hanging="2520"/>
        <w:rPr>
          <w:rFonts w:ascii="Arial" w:eastAsia="Times New Roman" w:hAnsi="Arial" w:cs="Times New Roman"/>
          <w:sz w:val="24"/>
          <w:szCs w:val="24"/>
        </w:rPr>
      </w:pPr>
    </w:p>
    <w:sectPr w:rsidR="00AA1BA3" w:rsidRPr="00B101ED" w:rsidSect="00991664">
      <w:pgSz w:w="15840" w:h="12240" w:orient="landscape"/>
      <w:pgMar w:top="1440" w:right="1440" w:bottom="1440" w:left="1440" w:header="720" w:footer="720" w:gutter="0"/>
      <w:pgNumType w:chapSep="em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0538" w14:textId="77777777" w:rsidR="00B96F47" w:rsidRDefault="00B96F47" w:rsidP="00194BF6">
      <w:pPr>
        <w:spacing w:after="0" w:line="240" w:lineRule="auto"/>
      </w:pPr>
      <w:r>
        <w:separator/>
      </w:r>
    </w:p>
  </w:endnote>
  <w:endnote w:type="continuationSeparator" w:id="0">
    <w:p w14:paraId="12EC8272" w14:textId="77777777" w:rsidR="00B96F47" w:rsidRDefault="00B96F47" w:rsidP="001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B9C" w14:textId="60537F44" w:rsidR="00186281" w:rsidRPr="00991664" w:rsidRDefault="00186281" w:rsidP="00AA058E">
    <w:pPr>
      <w:pStyle w:val="Footer"/>
      <w:tabs>
        <w:tab w:val="center" w:pos="4910"/>
        <w:tab w:val="left" w:pos="5745"/>
      </w:tabs>
      <w:rPr>
        <w:rFonts w:ascii="Arial" w:hAnsi="Arial" w:cs="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307211182"/>
      <w:docPartObj>
        <w:docPartGallery w:val="Page Numbers (Bottom of Page)"/>
        <w:docPartUnique/>
      </w:docPartObj>
    </w:sdtPr>
    <w:sdtEndPr>
      <w:rPr>
        <w:noProof/>
      </w:rPr>
    </w:sdtEndPr>
    <w:sdtContent>
      <w:p w14:paraId="117FC463" w14:textId="5640AC31" w:rsidR="00186281" w:rsidRPr="001E4E32" w:rsidRDefault="00186281">
        <w:pPr>
          <w:pStyle w:val="Footer"/>
          <w:jc w:val="center"/>
          <w:rPr>
            <w:rFonts w:ascii="Arial" w:hAnsi="Arial" w:cs="Arial"/>
            <w:sz w:val="24"/>
            <w:szCs w:val="24"/>
          </w:rPr>
        </w:pPr>
        <w:r w:rsidRPr="001E4E32">
          <w:rPr>
            <w:rFonts w:ascii="Arial" w:hAnsi="Arial" w:cs="Arial"/>
            <w:sz w:val="24"/>
            <w:szCs w:val="24"/>
          </w:rPr>
          <w:t xml:space="preserve">E – </w:t>
        </w:r>
        <w:r w:rsidRPr="001E4E32">
          <w:rPr>
            <w:rFonts w:ascii="Arial" w:hAnsi="Arial" w:cs="Arial"/>
            <w:sz w:val="24"/>
            <w:szCs w:val="24"/>
          </w:rPr>
          <w:fldChar w:fldCharType="begin"/>
        </w:r>
        <w:r w:rsidRPr="001E4E32">
          <w:rPr>
            <w:rFonts w:ascii="Arial" w:hAnsi="Arial" w:cs="Arial"/>
            <w:sz w:val="24"/>
            <w:szCs w:val="24"/>
          </w:rPr>
          <w:instrText xml:space="preserve"> PAGE   \* MERGEFORMAT </w:instrText>
        </w:r>
        <w:r w:rsidRPr="001E4E32">
          <w:rPr>
            <w:rFonts w:ascii="Arial" w:hAnsi="Arial" w:cs="Arial"/>
            <w:sz w:val="24"/>
            <w:szCs w:val="24"/>
          </w:rPr>
          <w:fldChar w:fldCharType="separate"/>
        </w:r>
        <w:r w:rsidRPr="001E4E32">
          <w:rPr>
            <w:rFonts w:ascii="Arial" w:hAnsi="Arial" w:cs="Arial"/>
            <w:noProof/>
            <w:sz w:val="24"/>
            <w:szCs w:val="24"/>
          </w:rPr>
          <w:t>2</w:t>
        </w:r>
        <w:r w:rsidRPr="001E4E32">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4088"/>
      <w:docPartObj>
        <w:docPartGallery w:val="Page Numbers (Bottom of Page)"/>
        <w:docPartUnique/>
      </w:docPartObj>
    </w:sdtPr>
    <w:sdtEndPr>
      <w:rPr>
        <w:rFonts w:ascii="Arial" w:hAnsi="Arial" w:cs="Arial"/>
        <w:noProof/>
        <w:sz w:val="24"/>
        <w:szCs w:val="24"/>
      </w:rPr>
    </w:sdtEndPr>
    <w:sdtContent>
      <w:p w14:paraId="1EABA337" w14:textId="0DD733FC" w:rsidR="00186281" w:rsidRPr="00F766D3" w:rsidRDefault="00186281" w:rsidP="00CA6AEC">
        <w:pPr>
          <w:pStyle w:val="Footer"/>
          <w:jc w:val="center"/>
          <w:rPr>
            <w:rFonts w:ascii="Arial" w:hAnsi="Arial" w:cs="Arial"/>
            <w:sz w:val="24"/>
            <w:szCs w:val="24"/>
          </w:rPr>
        </w:pPr>
        <w:r>
          <w:rPr>
            <w:rFonts w:ascii="Arial" w:hAnsi="Arial" w:cs="Arial"/>
            <w:sz w:val="24"/>
            <w:szCs w:val="24"/>
          </w:rPr>
          <w:t>E – [</w:t>
        </w:r>
        <w:r w:rsidRPr="00832769">
          <w:rPr>
            <w:rFonts w:ascii="Arial" w:hAnsi="Arial" w:cs="Arial"/>
            <w:sz w:val="24"/>
            <w:szCs w:val="24"/>
          </w:rPr>
          <w:fldChar w:fldCharType="begin"/>
        </w:r>
        <w:r w:rsidRPr="00832769">
          <w:rPr>
            <w:rFonts w:ascii="Arial" w:hAnsi="Arial" w:cs="Arial"/>
            <w:sz w:val="24"/>
            <w:szCs w:val="24"/>
          </w:rPr>
          <w:instrText xml:space="preserve"> PAGE   \* MERGEFORMAT </w:instrText>
        </w:r>
        <w:r w:rsidRPr="00832769">
          <w:rPr>
            <w:rFonts w:ascii="Arial" w:hAnsi="Arial" w:cs="Arial"/>
            <w:sz w:val="24"/>
            <w:szCs w:val="24"/>
          </w:rPr>
          <w:fldChar w:fldCharType="separate"/>
        </w:r>
        <w:r w:rsidRPr="00832769">
          <w:rPr>
            <w:rFonts w:ascii="Arial" w:hAnsi="Arial" w:cs="Arial"/>
            <w:noProof/>
            <w:sz w:val="24"/>
            <w:szCs w:val="24"/>
          </w:rPr>
          <w:t>2</w:t>
        </w:r>
        <w:r w:rsidRPr="00832769">
          <w:rPr>
            <w:rFonts w:ascii="Arial" w:hAnsi="Arial" w:cs="Arial"/>
            <w:noProof/>
            <w:sz w:val="24"/>
            <w:szCs w:val="24"/>
          </w:rPr>
          <w:fldChar w:fldCharType="end"/>
        </w:r>
        <w:r>
          <w:rPr>
            <w:rFonts w:ascii="Arial" w:hAnsi="Arial" w:cs="Arial"/>
            <w:noProof/>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2D22" w14:textId="77777777" w:rsidR="00B96F47" w:rsidRDefault="00B96F47" w:rsidP="00194BF6">
      <w:pPr>
        <w:spacing w:after="0" w:line="240" w:lineRule="auto"/>
      </w:pPr>
      <w:r>
        <w:separator/>
      </w:r>
    </w:p>
  </w:footnote>
  <w:footnote w:type="continuationSeparator" w:id="0">
    <w:p w14:paraId="0AB20B23" w14:textId="77777777" w:rsidR="00B96F47" w:rsidRDefault="00B96F47" w:rsidP="00194BF6">
      <w:pPr>
        <w:spacing w:after="0" w:line="240" w:lineRule="auto"/>
      </w:pPr>
      <w:r>
        <w:continuationSeparator/>
      </w:r>
    </w:p>
  </w:footnote>
  <w:footnote w:id="1">
    <w:p w14:paraId="27018AB1" w14:textId="202E33BE" w:rsidR="00186281" w:rsidRPr="00417CDE" w:rsidRDefault="00186281" w:rsidP="0042177F">
      <w:pPr>
        <w:tabs>
          <w:tab w:val="left" w:pos="720"/>
        </w:tabs>
        <w:adjustRightInd w:val="0"/>
        <w:spacing w:after="240" w:line="240" w:lineRule="auto"/>
        <w:ind w:left="540" w:hanging="180"/>
        <w:outlineLvl w:val="5"/>
      </w:pPr>
      <w:r w:rsidRPr="00417CDE">
        <w:rPr>
          <w:rStyle w:val="FootnoteReference"/>
        </w:rPr>
        <w:footnoteRef/>
      </w:r>
      <w:r w:rsidRPr="00417CDE">
        <w:rPr>
          <w:rFonts w:eastAsia="Times New Roman"/>
          <w:sz w:val="20"/>
          <w:szCs w:val="20"/>
        </w:rPr>
        <w:t xml:space="preserve"> “Hazardous waste treatment, storage, disposal and recycling facility” means any facility as defined by “hazardous waste facility” in Health and Safety Code section 25117.1 and in title 22, California Code of Regulations (CCR), section 66260.10 except: (1) transfer stations (as defined in the same section) that do not pump or package hazardous waste; and (2) storage facilities (as defined in Health and Safety Code, section 25123.3) that store only containerized waste.</w:t>
      </w:r>
    </w:p>
  </w:footnote>
  <w:footnote w:id="2">
    <w:p w14:paraId="32F14AB7" w14:textId="77777777" w:rsidR="00186281" w:rsidRDefault="00186281" w:rsidP="0042177F">
      <w:pPr>
        <w:pStyle w:val="FootnoteText"/>
        <w:ind w:left="90" w:hanging="90"/>
      </w:pPr>
      <w:r>
        <w:rPr>
          <w:rStyle w:val="FootnoteReference"/>
        </w:rPr>
        <w:footnoteRef/>
      </w:r>
      <w:r>
        <w:t xml:space="preserve"> </w:t>
      </w:r>
      <w:r w:rsidRPr="00417CDE">
        <w:rPr>
          <w:rFonts w:eastAsia="Times New Roman"/>
        </w:rPr>
        <w:t>A covered system wastewater treatment plant has a covering over the physical area where the primary settling process occurs in the wastewater treatment process, such as sedimentation tanks. The primary tanks may be sealed or covered with a fixed, floating, or retractable covering and shall be air tight, thus preventing emissions from being released into the 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04FB" w14:textId="01760547" w:rsidR="00186281" w:rsidRDefault="00186281" w:rsidP="006B7AA8">
    <w:pPr>
      <w:pStyle w:val="Header"/>
      <w:tabs>
        <w:tab w:val="clear" w:pos="4680"/>
        <w:tab w:val="clear" w:pos="9360"/>
        <w:tab w:val="left" w:pos="6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17D4"/>
    <w:multiLevelType w:val="hybridMultilevel"/>
    <w:tmpl w:val="764243CC"/>
    <w:lvl w:ilvl="0" w:tplc="893C5BC6">
      <w:start w:val="1"/>
      <w:numFmt w:val="lowerLetter"/>
      <w:lvlText w:val="%1"/>
      <w:lvlJc w:val="left"/>
      <w:pPr>
        <w:ind w:left="656" w:hanging="541"/>
      </w:pPr>
      <w:rPr>
        <w:rFonts w:ascii="Arial" w:eastAsia="Arial" w:hAnsi="Arial" w:cs="Arial" w:hint="default"/>
        <w:b/>
        <w:bCs/>
        <w:spacing w:val="-2"/>
        <w:w w:val="100"/>
        <w:position w:val="15"/>
        <w:sz w:val="21"/>
        <w:szCs w:val="21"/>
      </w:rPr>
    </w:lvl>
    <w:lvl w:ilvl="1" w:tplc="657A5A6C">
      <w:start w:val="1"/>
      <w:numFmt w:val="decimal"/>
      <w:lvlText w:val="(%2)"/>
      <w:lvlJc w:val="left"/>
      <w:pPr>
        <w:ind w:left="1017" w:hanging="362"/>
      </w:pPr>
      <w:rPr>
        <w:rFonts w:ascii="Arial" w:eastAsia="Arial" w:hAnsi="Arial" w:cs="Arial" w:hint="default"/>
        <w:b w:val="0"/>
        <w:bCs/>
        <w:spacing w:val="-3"/>
        <w:w w:val="100"/>
        <w:sz w:val="24"/>
        <w:szCs w:val="24"/>
      </w:rPr>
    </w:lvl>
    <w:lvl w:ilvl="2" w:tplc="99026EDE">
      <w:numFmt w:val="bullet"/>
      <w:lvlText w:val="•"/>
      <w:lvlJc w:val="left"/>
      <w:pPr>
        <w:ind w:left="1100" w:hanging="362"/>
      </w:pPr>
      <w:rPr>
        <w:rFonts w:hint="default"/>
      </w:rPr>
    </w:lvl>
    <w:lvl w:ilvl="3" w:tplc="B9DEF51C">
      <w:numFmt w:val="bullet"/>
      <w:lvlText w:val="•"/>
      <w:lvlJc w:val="left"/>
      <w:pPr>
        <w:ind w:left="1200" w:hanging="362"/>
      </w:pPr>
      <w:rPr>
        <w:rFonts w:hint="default"/>
      </w:rPr>
    </w:lvl>
    <w:lvl w:ilvl="4" w:tplc="CFDEF434">
      <w:numFmt w:val="bullet"/>
      <w:lvlText w:val="•"/>
      <w:lvlJc w:val="left"/>
      <w:pPr>
        <w:ind w:left="2431" w:hanging="362"/>
      </w:pPr>
      <w:rPr>
        <w:rFonts w:hint="default"/>
      </w:rPr>
    </w:lvl>
    <w:lvl w:ilvl="5" w:tplc="3572CCC2">
      <w:numFmt w:val="bullet"/>
      <w:lvlText w:val="•"/>
      <w:lvlJc w:val="left"/>
      <w:pPr>
        <w:ind w:left="3662" w:hanging="362"/>
      </w:pPr>
      <w:rPr>
        <w:rFonts w:hint="default"/>
      </w:rPr>
    </w:lvl>
    <w:lvl w:ilvl="6" w:tplc="E260F9D0">
      <w:numFmt w:val="bullet"/>
      <w:lvlText w:val="•"/>
      <w:lvlJc w:val="left"/>
      <w:pPr>
        <w:ind w:left="4894" w:hanging="362"/>
      </w:pPr>
      <w:rPr>
        <w:rFonts w:hint="default"/>
      </w:rPr>
    </w:lvl>
    <w:lvl w:ilvl="7" w:tplc="569ACBFA">
      <w:numFmt w:val="bullet"/>
      <w:lvlText w:val="•"/>
      <w:lvlJc w:val="left"/>
      <w:pPr>
        <w:ind w:left="6125" w:hanging="362"/>
      </w:pPr>
      <w:rPr>
        <w:rFonts w:hint="default"/>
      </w:rPr>
    </w:lvl>
    <w:lvl w:ilvl="8" w:tplc="DA0EE936">
      <w:numFmt w:val="bullet"/>
      <w:lvlText w:val="•"/>
      <w:lvlJc w:val="left"/>
      <w:pPr>
        <w:ind w:left="7357" w:hanging="362"/>
      </w:pPr>
      <w:rPr>
        <w:rFonts w:hint="default"/>
      </w:rPr>
    </w:lvl>
  </w:abstractNum>
  <w:abstractNum w:abstractNumId="1" w15:restartNumberingAfterBreak="0">
    <w:nsid w:val="2AE85185"/>
    <w:multiLevelType w:val="hybridMultilevel"/>
    <w:tmpl w:val="8E3AB0D6"/>
    <w:lvl w:ilvl="0" w:tplc="8AE01880">
      <w:start w:val="1"/>
      <w:numFmt w:val="decimal"/>
      <w:lvlText w:val="(%1)"/>
      <w:lvlJc w:val="left"/>
      <w:pPr>
        <w:ind w:left="656" w:hanging="541"/>
      </w:pPr>
      <w:rPr>
        <w:rFonts w:ascii="Arial" w:eastAsia="Arial" w:hAnsi="Arial" w:cs="Arial" w:hint="default"/>
        <w:b w:val="0"/>
        <w:spacing w:val="-3"/>
        <w:w w:val="100"/>
        <w:sz w:val="24"/>
        <w:szCs w:val="24"/>
      </w:rPr>
    </w:lvl>
    <w:lvl w:ilvl="1" w:tplc="A40011FE">
      <w:numFmt w:val="bullet"/>
      <w:lvlText w:val="•"/>
      <w:lvlJc w:val="left"/>
      <w:pPr>
        <w:ind w:left="1576" w:hanging="541"/>
      </w:pPr>
      <w:rPr>
        <w:rFonts w:hint="default"/>
      </w:rPr>
    </w:lvl>
    <w:lvl w:ilvl="2" w:tplc="99086056">
      <w:numFmt w:val="bullet"/>
      <w:lvlText w:val="•"/>
      <w:lvlJc w:val="left"/>
      <w:pPr>
        <w:ind w:left="2492" w:hanging="541"/>
      </w:pPr>
      <w:rPr>
        <w:rFonts w:hint="default"/>
      </w:rPr>
    </w:lvl>
    <w:lvl w:ilvl="3" w:tplc="612C468C">
      <w:numFmt w:val="bullet"/>
      <w:lvlText w:val="•"/>
      <w:lvlJc w:val="left"/>
      <w:pPr>
        <w:ind w:left="3408" w:hanging="541"/>
      </w:pPr>
      <w:rPr>
        <w:rFonts w:hint="default"/>
      </w:rPr>
    </w:lvl>
    <w:lvl w:ilvl="4" w:tplc="DC229F0C">
      <w:numFmt w:val="bullet"/>
      <w:lvlText w:val="•"/>
      <w:lvlJc w:val="left"/>
      <w:pPr>
        <w:ind w:left="4324" w:hanging="541"/>
      </w:pPr>
      <w:rPr>
        <w:rFonts w:hint="default"/>
      </w:rPr>
    </w:lvl>
    <w:lvl w:ilvl="5" w:tplc="3CE0B112">
      <w:numFmt w:val="bullet"/>
      <w:lvlText w:val="•"/>
      <w:lvlJc w:val="left"/>
      <w:pPr>
        <w:ind w:left="5240" w:hanging="541"/>
      </w:pPr>
      <w:rPr>
        <w:rFonts w:hint="default"/>
      </w:rPr>
    </w:lvl>
    <w:lvl w:ilvl="6" w:tplc="B10C93D8">
      <w:numFmt w:val="bullet"/>
      <w:lvlText w:val="•"/>
      <w:lvlJc w:val="left"/>
      <w:pPr>
        <w:ind w:left="6156" w:hanging="541"/>
      </w:pPr>
      <w:rPr>
        <w:rFonts w:hint="default"/>
      </w:rPr>
    </w:lvl>
    <w:lvl w:ilvl="7" w:tplc="6ED451A0">
      <w:numFmt w:val="bullet"/>
      <w:lvlText w:val="•"/>
      <w:lvlJc w:val="left"/>
      <w:pPr>
        <w:ind w:left="7072" w:hanging="541"/>
      </w:pPr>
      <w:rPr>
        <w:rFonts w:hint="default"/>
      </w:rPr>
    </w:lvl>
    <w:lvl w:ilvl="8" w:tplc="DD1E773C">
      <w:numFmt w:val="bullet"/>
      <w:lvlText w:val="•"/>
      <w:lvlJc w:val="left"/>
      <w:pPr>
        <w:ind w:left="7988" w:hanging="54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A3"/>
    <w:rsid w:val="0004472D"/>
    <w:rsid w:val="000447A0"/>
    <w:rsid w:val="00056DB5"/>
    <w:rsid w:val="000726B4"/>
    <w:rsid w:val="00087C67"/>
    <w:rsid w:val="00090A1E"/>
    <w:rsid w:val="000C112E"/>
    <w:rsid w:val="00127058"/>
    <w:rsid w:val="00140C3F"/>
    <w:rsid w:val="0014433D"/>
    <w:rsid w:val="00186281"/>
    <w:rsid w:val="001935C5"/>
    <w:rsid w:val="00194BF6"/>
    <w:rsid w:val="001B11C6"/>
    <w:rsid w:val="001D0B5D"/>
    <w:rsid w:val="001E4E32"/>
    <w:rsid w:val="002101D9"/>
    <w:rsid w:val="00225DB4"/>
    <w:rsid w:val="00233E92"/>
    <w:rsid w:val="00243DDA"/>
    <w:rsid w:val="002612D7"/>
    <w:rsid w:val="002652FD"/>
    <w:rsid w:val="002718BE"/>
    <w:rsid w:val="002A149D"/>
    <w:rsid w:val="002B199C"/>
    <w:rsid w:val="002C2D49"/>
    <w:rsid w:val="002D2BDC"/>
    <w:rsid w:val="002F0AE4"/>
    <w:rsid w:val="00346D6F"/>
    <w:rsid w:val="00352107"/>
    <w:rsid w:val="003807E7"/>
    <w:rsid w:val="003D6B93"/>
    <w:rsid w:val="00417354"/>
    <w:rsid w:val="00417CDE"/>
    <w:rsid w:val="0042177F"/>
    <w:rsid w:val="004259CB"/>
    <w:rsid w:val="00453271"/>
    <w:rsid w:val="004539E3"/>
    <w:rsid w:val="004570D7"/>
    <w:rsid w:val="004A37FD"/>
    <w:rsid w:val="004D7590"/>
    <w:rsid w:val="004F1CAA"/>
    <w:rsid w:val="004F2570"/>
    <w:rsid w:val="005130E3"/>
    <w:rsid w:val="00513479"/>
    <w:rsid w:val="00532C50"/>
    <w:rsid w:val="00566AF7"/>
    <w:rsid w:val="005A7C32"/>
    <w:rsid w:val="005C1F30"/>
    <w:rsid w:val="005C203E"/>
    <w:rsid w:val="005D16AC"/>
    <w:rsid w:val="00606FCC"/>
    <w:rsid w:val="00622729"/>
    <w:rsid w:val="00625387"/>
    <w:rsid w:val="00625A4D"/>
    <w:rsid w:val="00626D0C"/>
    <w:rsid w:val="00643664"/>
    <w:rsid w:val="00667ED0"/>
    <w:rsid w:val="006B7AA8"/>
    <w:rsid w:val="006C112D"/>
    <w:rsid w:val="006C7A3C"/>
    <w:rsid w:val="006E6ACD"/>
    <w:rsid w:val="007429A0"/>
    <w:rsid w:val="0075163D"/>
    <w:rsid w:val="0076162D"/>
    <w:rsid w:val="00776407"/>
    <w:rsid w:val="00780232"/>
    <w:rsid w:val="007B4635"/>
    <w:rsid w:val="007D2AB6"/>
    <w:rsid w:val="007D2DE3"/>
    <w:rsid w:val="007F244C"/>
    <w:rsid w:val="00806FB0"/>
    <w:rsid w:val="00813800"/>
    <w:rsid w:val="008177CC"/>
    <w:rsid w:val="00826BF9"/>
    <w:rsid w:val="00832769"/>
    <w:rsid w:val="008525CD"/>
    <w:rsid w:val="0085746F"/>
    <w:rsid w:val="008656F7"/>
    <w:rsid w:val="008862AB"/>
    <w:rsid w:val="008E067E"/>
    <w:rsid w:val="008E23C8"/>
    <w:rsid w:val="008F0B0C"/>
    <w:rsid w:val="00904468"/>
    <w:rsid w:val="00917F26"/>
    <w:rsid w:val="009625F9"/>
    <w:rsid w:val="00981DB4"/>
    <w:rsid w:val="00986467"/>
    <w:rsid w:val="00991664"/>
    <w:rsid w:val="0099429A"/>
    <w:rsid w:val="009A39AA"/>
    <w:rsid w:val="009B3345"/>
    <w:rsid w:val="00A219A5"/>
    <w:rsid w:val="00A5774A"/>
    <w:rsid w:val="00A60E06"/>
    <w:rsid w:val="00A672CC"/>
    <w:rsid w:val="00A84673"/>
    <w:rsid w:val="00A87BD1"/>
    <w:rsid w:val="00AA058E"/>
    <w:rsid w:val="00AA1BA3"/>
    <w:rsid w:val="00AC4C0A"/>
    <w:rsid w:val="00AC532C"/>
    <w:rsid w:val="00B07161"/>
    <w:rsid w:val="00B07BE0"/>
    <w:rsid w:val="00B101ED"/>
    <w:rsid w:val="00B5768A"/>
    <w:rsid w:val="00B57BE5"/>
    <w:rsid w:val="00B60F3D"/>
    <w:rsid w:val="00B86FA7"/>
    <w:rsid w:val="00B96F47"/>
    <w:rsid w:val="00BA1AE2"/>
    <w:rsid w:val="00BD57FB"/>
    <w:rsid w:val="00BE1599"/>
    <w:rsid w:val="00C13EB6"/>
    <w:rsid w:val="00C278A9"/>
    <w:rsid w:val="00C45D53"/>
    <w:rsid w:val="00CA6AEC"/>
    <w:rsid w:val="00CC3A15"/>
    <w:rsid w:val="00CC66A7"/>
    <w:rsid w:val="00CF1488"/>
    <w:rsid w:val="00CF5238"/>
    <w:rsid w:val="00D028E9"/>
    <w:rsid w:val="00D02D85"/>
    <w:rsid w:val="00D566BA"/>
    <w:rsid w:val="00D74E1E"/>
    <w:rsid w:val="00D94F6C"/>
    <w:rsid w:val="00DD7BF8"/>
    <w:rsid w:val="00E504EA"/>
    <w:rsid w:val="00E516B3"/>
    <w:rsid w:val="00E656A8"/>
    <w:rsid w:val="00E770C2"/>
    <w:rsid w:val="00EA2A28"/>
    <w:rsid w:val="00EA4075"/>
    <w:rsid w:val="00EB23E6"/>
    <w:rsid w:val="00EC0B11"/>
    <w:rsid w:val="00EC1F59"/>
    <w:rsid w:val="00EE6F40"/>
    <w:rsid w:val="00F0048C"/>
    <w:rsid w:val="00F0091F"/>
    <w:rsid w:val="00F06FC7"/>
    <w:rsid w:val="00F2414A"/>
    <w:rsid w:val="00F32A21"/>
    <w:rsid w:val="00F53B63"/>
    <w:rsid w:val="00F70ADC"/>
    <w:rsid w:val="00F766D3"/>
    <w:rsid w:val="00F97315"/>
    <w:rsid w:val="00FF0D1C"/>
    <w:rsid w:val="04C8822F"/>
    <w:rsid w:val="17BA5E14"/>
    <w:rsid w:val="267F5F4D"/>
    <w:rsid w:val="30ADD191"/>
    <w:rsid w:val="69766C9B"/>
    <w:rsid w:val="70532AFB"/>
    <w:rsid w:val="7B41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B0EA0"/>
  <w15:chartTrackingRefBased/>
  <w15:docId w15:val="{D8AE6FC7-6003-49EF-B27D-C5C369C1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AA"/>
  </w:style>
  <w:style w:type="paragraph" w:styleId="Heading1">
    <w:name w:val="heading 1"/>
    <w:basedOn w:val="Normal"/>
    <w:link w:val="Heading1Char"/>
    <w:uiPriority w:val="1"/>
    <w:qFormat/>
    <w:rsid w:val="00A87BD1"/>
    <w:pPr>
      <w:widowControl w:val="0"/>
      <w:autoSpaceDE w:val="0"/>
      <w:autoSpaceDN w:val="0"/>
      <w:spacing w:after="0" w:line="240" w:lineRule="auto"/>
      <w:ind w:left="649" w:right="803"/>
      <w:jc w:val="center"/>
      <w:outlineLvl w:val="0"/>
    </w:pPr>
    <w:rPr>
      <w:rFonts w:ascii="Arial" w:eastAsia="Arial" w:hAnsi="Arial" w:cs="Arial"/>
      <w:b/>
      <w:bCs/>
      <w:sz w:val="28"/>
      <w:szCs w:val="28"/>
      <w:u w:val="single" w:color="000000"/>
    </w:rPr>
  </w:style>
  <w:style w:type="paragraph" w:styleId="Heading2">
    <w:name w:val="heading 2"/>
    <w:basedOn w:val="Normal"/>
    <w:link w:val="Heading2Char"/>
    <w:uiPriority w:val="1"/>
    <w:qFormat/>
    <w:rsid w:val="00A87BD1"/>
    <w:pPr>
      <w:widowControl w:val="0"/>
      <w:autoSpaceDE w:val="0"/>
      <w:autoSpaceDN w:val="0"/>
      <w:spacing w:before="74" w:after="0" w:line="240" w:lineRule="auto"/>
      <w:ind w:left="649" w:right="80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AA1BA3"/>
    <w:rPr>
      <w:sz w:val="16"/>
      <w:szCs w:val="16"/>
    </w:rPr>
  </w:style>
  <w:style w:type="paragraph" w:styleId="CommentText">
    <w:name w:val="annotation text"/>
    <w:basedOn w:val="Normal"/>
    <w:link w:val="CommentTextChar"/>
    <w:rsid w:val="00AA1BA3"/>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A1BA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A1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BA3"/>
    <w:rPr>
      <w:rFonts w:ascii="Segoe UI" w:hAnsi="Segoe UI" w:cs="Segoe UI"/>
      <w:sz w:val="18"/>
      <w:szCs w:val="18"/>
    </w:rPr>
  </w:style>
  <w:style w:type="paragraph" w:styleId="Header">
    <w:name w:val="header"/>
    <w:basedOn w:val="Normal"/>
    <w:link w:val="HeaderChar"/>
    <w:unhideWhenUsed/>
    <w:rsid w:val="00194BF6"/>
    <w:pPr>
      <w:tabs>
        <w:tab w:val="center" w:pos="4680"/>
        <w:tab w:val="right" w:pos="9360"/>
      </w:tabs>
      <w:spacing w:after="0" w:line="240" w:lineRule="auto"/>
    </w:pPr>
  </w:style>
  <w:style w:type="character" w:customStyle="1" w:styleId="HeaderChar">
    <w:name w:val="Header Char"/>
    <w:basedOn w:val="DefaultParagraphFont"/>
    <w:link w:val="Header"/>
    <w:rsid w:val="00194BF6"/>
  </w:style>
  <w:style w:type="paragraph" w:styleId="Footer">
    <w:name w:val="footer"/>
    <w:basedOn w:val="Normal"/>
    <w:link w:val="FooterChar"/>
    <w:uiPriority w:val="99"/>
    <w:unhideWhenUsed/>
    <w:rsid w:val="00194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F6"/>
  </w:style>
  <w:style w:type="character" w:styleId="PageNumber">
    <w:name w:val="page number"/>
    <w:basedOn w:val="DefaultParagraphFont"/>
    <w:rsid w:val="00194BF6"/>
  </w:style>
  <w:style w:type="table" w:styleId="TableGrid">
    <w:name w:val="Table Grid"/>
    <w:basedOn w:val="TableNormal"/>
    <w:rsid w:val="00BE15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25A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87BD1"/>
    <w:rPr>
      <w:rFonts w:ascii="Arial" w:eastAsia="Arial" w:hAnsi="Arial" w:cs="Arial"/>
      <w:b/>
      <w:bCs/>
      <w:sz w:val="28"/>
      <w:szCs w:val="28"/>
      <w:u w:val="single" w:color="000000"/>
    </w:rPr>
  </w:style>
  <w:style w:type="character" w:customStyle="1" w:styleId="Heading2Char">
    <w:name w:val="Heading 2 Char"/>
    <w:basedOn w:val="DefaultParagraphFont"/>
    <w:link w:val="Heading2"/>
    <w:uiPriority w:val="1"/>
    <w:rsid w:val="00A87BD1"/>
    <w:rPr>
      <w:rFonts w:ascii="Arial" w:eastAsia="Arial" w:hAnsi="Arial" w:cs="Arial"/>
      <w:b/>
      <w:bCs/>
      <w:sz w:val="24"/>
      <w:szCs w:val="24"/>
    </w:rPr>
  </w:style>
  <w:style w:type="paragraph" w:styleId="BodyText">
    <w:name w:val="Body Text"/>
    <w:basedOn w:val="Normal"/>
    <w:link w:val="BodyTextChar"/>
    <w:uiPriority w:val="1"/>
    <w:qFormat/>
    <w:rsid w:val="00A87BD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87BD1"/>
    <w:rPr>
      <w:rFonts w:ascii="Arial" w:eastAsia="Arial" w:hAnsi="Arial" w:cs="Arial"/>
      <w:sz w:val="24"/>
      <w:szCs w:val="24"/>
    </w:rPr>
  </w:style>
  <w:style w:type="paragraph" w:styleId="ListParagraph">
    <w:name w:val="List Paragraph"/>
    <w:basedOn w:val="Normal"/>
    <w:uiPriority w:val="1"/>
    <w:qFormat/>
    <w:rsid w:val="00A87BD1"/>
    <w:pPr>
      <w:widowControl w:val="0"/>
      <w:autoSpaceDE w:val="0"/>
      <w:autoSpaceDN w:val="0"/>
      <w:spacing w:after="0" w:line="240" w:lineRule="auto"/>
      <w:ind w:left="656" w:hanging="540"/>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A87BD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7BD1"/>
    <w:rPr>
      <w:rFonts w:ascii="Arial" w:eastAsia="Times New Roman" w:hAnsi="Arial" w:cs="Times New Roman"/>
      <w:b/>
      <w:bCs/>
      <w:sz w:val="20"/>
      <w:szCs w:val="20"/>
    </w:rPr>
  </w:style>
  <w:style w:type="paragraph" w:styleId="Revision">
    <w:name w:val="Revision"/>
    <w:hidden/>
    <w:uiPriority w:val="99"/>
    <w:semiHidden/>
    <w:rsid w:val="002101D9"/>
    <w:pPr>
      <w:spacing w:after="0" w:line="240" w:lineRule="auto"/>
    </w:pPr>
  </w:style>
  <w:style w:type="paragraph" w:styleId="FootnoteText">
    <w:name w:val="footnote text"/>
    <w:basedOn w:val="Normal"/>
    <w:link w:val="FootnoteTextChar"/>
    <w:uiPriority w:val="99"/>
    <w:semiHidden/>
    <w:unhideWhenUsed/>
    <w:rsid w:val="00AC5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32C"/>
    <w:rPr>
      <w:sz w:val="20"/>
      <w:szCs w:val="20"/>
    </w:rPr>
  </w:style>
  <w:style w:type="character" w:styleId="FootnoteReference">
    <w:name w:val="footnote reference"/>
    <w:basedOn w:val="DefaultParagraphFont"/>
    <w:uiPriority w:val="99"/>
    <w:semiHidden/>
    <w:unhideWhenUsed/>
    <w:rsid w:val="00AC532C"/>
    <w:rPr>
      <w:vertAlign w:val="superscript"/>
    </w:rPr>
  </w:style>
  <w:style w:type="paragraph" w:customStyle="1" w:styleId="Default">
    <w:name w:val="Default"/>
    <w:rsid w:val="00626D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094">
      <w:bodyDiv w:val="1"/>
      <w:marLeft w:val="0"/>
      <w:marRight w:val="0"/>
      <w:marTop w:val="0"/>
      <w:marBottom w:val="0"/>
      <w:divBdr>
        <w:top w:val="none" w:sz="0" w:space="0" w:color="auto"/>
        <w:left w:val="none" w:sz="0" w:space="0" w:color="auto"/>
        <w:bottom w:val="none" w:sz="0" w:space="0" w:color="auto"/>
        <w:right w:val="none" w:sz="0" w:space="0" w:color="auto"/>
      </w:divBdr>
    </w:div>
    <w:div w:id="1848862994">
      <w:bodyDiv w:val="1"/>
      <w:marLeft w:val="0"/>
      <w:marRight w:val="0"/>
      <w:marTop w:val="0"/>
      <w:marBottom w:val="0"/>
      <w:divBdr>
        <w:top w:val="none" w:sz="0" w:space="0" w:color="auto"/>
        <w:left w:val="none" w:sz="0" w:space="0" w:color="auto"/>
        <w:bottom w:val="none" w:sz="0" w:space="0" w:color="auto"/>
        <w:right w:val="none" w:sz="0" w:space="0" w:color="auto"/>
      </w:divBdr>
    </w:div>
    <w:div w:id="2079205652">
      <w:bodyDiv w:val="1"/>
      <w:marLeft w:val="0"/>
      <w:marRight w:val="0"/>
      <w:marTop w:val="0"/>
      <w:marBottom w:val="0"/>
      <w:divBdr>
        <w:top w:val="none" w:sz="0" w:space="0" w:color="auto"/>
        <w:left w:val="none" w:sz="0" w:space="0" w:color="auto"/>
        <w:bottom w:val="none" w:sz="0" w:space="0" w:color="auto"/>
        <w:right w:val="none" w:sz="0" w:space="0" w:color="auto"/>
      </w:divBdr>
      <w:divsChild>
        <w:div w:id="163992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4B6D-57B4-4B90-85B5-E40F2D20FE45}">
  <ds:schemaRefs>
    <ds:schemaRef ds:uri="http://schemas.microsoft.com/sharepoint/v3/contenttype/forms"/>
  </ds:schemaRefs>
</ds:datastoreItem>
</file>

<file path=customXml/itemProps2.xml><?xml version="1.0" encoding="utf-8"?>
<ds:datastoreItem xmlns:ds="http://schemas.openxmlformats.org/officeDocument/2006/customXml" ds:itemID="{AED7B04D-BC6B-4AF9-B724-21E704766296}">
  <ds:schemaRefs>
    <ds:schemaRef ds:uri="http://schemas.microsoft.com/office/2006/metadata/properties"/>
    <ds:schemaRef ds:uri="http://schemas.microsoft.com/office/infopath/2007/PartnerControls"/>
    <ds:schemaRef ds:uri="4e3605fd-2326-4671-a273-916c688c4a7b"/>
  </ds:schemaRefs>
</ds:datastoreItem>
</file>

<file path=customXml/itemProps3.xml><?xml version="1.0" encoding="utf-8"?>
<ds:datastoreItem xmlns:ds="http://schemas.openxmlformats.org/officeDocument/2006/customXml" ds:itemID="{57C6F825-3F29-4230-9A1F-A350C47D19E0}"/>
</file>

<file path=customXml/itemProps4.xml><?xml version="1.0" encoding="utf-8"?>
<ds:datastoreItem xmlns:ds="http://schemas.openxmlformats.org/officeDocument/2006/customXml" ds:itemID="{4A29B6D1-89EE-4381-91F6-A003401C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10. EICG Appendix E FRO</vt:lpstr>
    </vt:vector>
  </TitlesOfParts>
  <Company>CARB</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EICG Appendix E FRO</dc:title>
  <dc:subject/>
  <dc:creator>Klein, Anne@ARB</dc:creator>
  <cp:keywords/>
  <dc:description/>
  <cp:lastModifiedBy>Zelinka, Stephen@ARB</cp:lastModifiedBy>
  <cp:revision>6</cp:revision>
  <dcterms:created xsi:type="dcterms:W3CDTF">2022-05-03T22:32:00Z</dcterms:created>
  <dcterms:modified xsi:type="dcterms:W3CDTF">2022-10-18T18:28:00Z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0x010100BA11552DB51AE44E96F603876005C3DD</vt:lpwstr>
  </property>
  <property fmtid="{D5CDD505-2E9C-101B-9397-08002B2CF9AE}" pid="3" name="_AdHocReviewCycleID">
    <vt:i4>567474869</vt:i4>
  </property>
  <property fmtid="{D5CDD505-2E9C-101B-9397-08002B2CF9AE}" pid="4" name="_NewReviewCycle">
    <vt:lpwstr/>
  </property>
  <property fmtid="{D5CDD505-2E9C-101B-9397-08002B2CF9AE}" pid="5" name="_EmailSubject">
    <vt:lpwstr>AB 2588 EICG Notice Package</vt:lpwstr>
  </property>
  <property fmtid="{D5CDD505-2E9C-101B-9397-08002B2CF9AE}" pid="6" name="_AuthorEmail">
    <vt:lpwstr>gabe.ruiz@arb.ca.gov</vt:lpwstr>
  </property>
  <property fmtid="{D5CDD505-2E9C-101B-9397-08002B2CF9AE}" pid="7" name="_AuthorEmailDisplayName">
    <vt:lpwstr>Ruiz, Gabe@ARB</vt:lpwstr>
  </property>
  <property fmtid="{D5CDD505-2E9C-101B-9397-08002B2CF9AE}" pid="8" name="_dlc_policyId">
    <vt:lpwstr>0x01010076C0937DF0411C4CB98A5DF7685548EF</vt:lpwstr>
  </property>
  <property fmtid="{D5CDD505-2E9C-101B-9397-08002B2CF9AE}" pid="9" name="ItemRetentionFormula">
    <vt:lpwstr/>
  </property>
  <property fmtid="{D5CDD505-2E9C-101B-9397-08002B2CF9AE}" pid="10" name="_dlc_DocIdItemGuid">
    <vt:lpwstr>aa8120c9-d696-4bd4-888f-7a30912415fb</vt:lpwstr>
  </property>
  <property fmtid="{D5CDD505-2E9C-101B-9397-08002B2CF9AE}" pid="11" name="_ReviewingToolsShownOnce">
    <vt:lpwstr/>
  </property>
</Properties>
</file>