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B7C9A" w14:textId="42511504" w:rsidR="00906F54" w:rsidRPr="008313ED" w:rsidRDefault="00906F54" w:rsidP="2245D78F">
      <w:pPr>
        <w:pStyle w:val="Title"/>
        <w:rPr>
          <w:rFonts w:asciiTheme="minorHAnsi" w:hAnsiTheme="minorHAnsi"/>
        </w:rPr>
      </w:pPr>
      <w:bookmarkStart w:id="0" w:name="_Toc187305837"/>
      <w:r w:rsidRPr="008313ED">
        <w:rPr>
          <w:rFonts w:asciiTheme="minorHAnsi" w:hAnsiTheme="minorHAnsi"/>
        </w:rPr>
        <w:t xml:space="preserve">AB 2588 </w:t>
      </w:r>
      <w:r w:rsidR="00BB4EB6" w:rsidRPr="008313ED">
        <w:rPr>
          <w:rFonts w:asciiTheme="minorHAnsi" w:hAnsiTheme="minorHAnsi"/>
        </w:rPr>
        <w:t>Hot Spots</w:t>
      </w:r>
      <w:r w:rsidRPr="008313ED">
        <w:rPr>
          <w:rFonts w:asciiTheme="minorHAnsi" w:hAnsiTheme="minorHAnsi"/>
        </w:rPr>
        <w:t xml:space="preserve"> Frequently Asked Questions</w:t>
      </w:r>
      <w:bookmarkEnd w:id="0"/>
    </w:p>
    <w:p w14:paraId="451BDB06" w14:textId="03201BE4" w:rsidR="00D54573" w:rsidRPr="008313ED" w:rsidRDefault="00D54573" w:rsidP="00D54573">
      <w:pPr>
        <w:pStyle w:val="Heading3"/>
        <w:rPr>
          <w:rFonts w:asciiTheme="minorHAnsi" w:hAnsiTheme="minorHAnsi"/>
        </w:rPr>
      </w:pPr>
      <w:bookmarkStart w:id="1" w:name="_Toc187305838"/>
      <w:r w:rsidRPr="008313ED">
        <w:rPr>
          <w:rFonts w:asciiTheme="minorHAnsi" w:hAnsiTheme="minorHAnsi"/>
        </w:rPr>
        <w:t>Purpose of this Document</w:t>
      </w:r>
      <w:bookmarkEnd w:id="1"/>
    </w:p>
    <w:p w14:paraId="42C290CB" w14:textId="359E8DD9" w:rsidR="00676E3E" w:rsidRPr="008313ED" w:rsidRDefault="00DA4D88" w:rsidP="00CE04FF">
      <w:pPr>
        <w:pStyle w:val="NormalWeb"/>
        <w:rPr>
          <w:rFonts w:asciiTheme="minorHAnsi" w:hAnsiTheme="minorHAnsi"/>
        </w:rPr>
      </w:pPr>
      <w:r w:rsidRPr="008313ED">
        <w:rPr>
          <w:rFonts w:asciiTheme="minorHAnsi" w:hAnsiTheme="minorHAnsi"/>
        </w:rPr>
        <w:t xml:space="preserve">This document is for informational purposes only. It is not intended to add to, or subtract from, the laws or regulations and it is not a substitute for actual laws or regulations. </w:t>
      </w:r>
      <w:r w:rsidR="00787A3F" w:rsidRPr="008313ED">
        <w:rPr>
          <w:rFonts w:asciiTheme="minorHAnsi" w:hAnsiTheme="minorHAnsi"/>
        </w:rPr>
        <w:t xml:space="preserve">This document </w:t>
      </w:r>
      <w:r w:rsidR="00E90F8D" w:rsidRPr="008313ED">
        <w:rPr>
          <w:rFonts w:asciiTheme="minorHAnsi" w:hAnsiTheme="minorHAnsi"/>
        </w:rPr>
        <w:t xml:space="preserve">is intended to aid </w:t>
      </w:r>
      <w:r w:rsidR="004D3E65" w:rsidRPr="008313ED">
        <w:rPr>
          <w:rFonts w:asciiTheme="minorHAnsi" w:hAnsiTheme="minorHAnsi"/>
        </w:rPr>
        <w:t>Air Districts, community members, stakeholders and the general public in understanding</w:t>
      </w:r>
      <w:r w:rsidR="00D9783B" w:rsidRPr="008313ED">
        <w:rPr>
          <w:rFonts w:asciiTheme="minorHAnsi" w:hAnsiTheme="minorHAnsi"/>
        </w:rPr>
        <w:t xml:space="preserve"> </w:t>
      </w:r>
      <w:r w:rsidR="00057D70" w:rsidRPr="008313ED">
        <w:rPr>
          <w:rFonts w:asciiTheme="minorHAnsi" w:hAnsiTheme="minorHAnsi"/>
        </w:rPr>
        <w:t xml:space="preserve">the </w:t>
      </w:r>
      <w:hyperlink r:id="rId11" w:history="1">
        <w:r w:rsidR="00BD0851" w:rsidRPr="008313ED">
          <w:rPr>
            <w:rStyle w:val="Hyperlink"/>
            <w:rFonts w:asciiTheme="minorHAnsi" w:hAnsiTheme="minorHAnsi"/>
          </w:rPr>
          <w:t>AB 2588 Hot Spots Program</w:t>
        </w:r>
      </w:hyperlink>
      <w:r w:rsidR="00BD0851" w:rsidRPr="008313ED">
        <w:rPr>
          <w:rFonts w:asciiTheme="minorHAnsi" w:hAnsiTheme="minorHAnsi"/>
        </w:rPr>
        <w:t xml:space="preserve"> </w:t>
      </w:r>
      <w:r w:rsidR="00057D70" w:rsidRPr="008313ED">
        <w:rPr>
          <w:rFonts w:asciiTheme="minorHAnsi" w:hAnsiTheme="minorHAnsi"/>
        </w:rPr>
        <w:t xml:space="preserve">reporting guidelines. </w:t>
      </w:r>
      <w:r w:rsidR="00F42058" w:rsidRPr="008313ED">
        <w:rPr>
          <w:rFonts w:asciiTheme="minorHAnsi" w:hAnsiTheme="minorHAnsi"/>
        </w:rPr>
        <w:t xml:space="preserve">This document </w:t>
      </w:r>
      <w:r w:rsidR="00787A3F" w:rsidRPr="008313ED">
        <w:rPr>
          <w:rFonts w:asciiTheme="minorHAnsi" w:hAnsiTheme="minorHAnsi"/>
        </w:rPr>
        <w:t xml:space="preserve">will be updated on a semi-annual basis as more FAQs </w:t>
      </w:r>
      <w:r w:rsidR="00134CE3" w:rsidRPr="008313ED">
        <w:rPr>
          <w:rFonts w:asciiTheme="minorHAnsi" w:hAnsiTheme="minorHAnsi"/>
        </w:rPr>
        <w:t xml:space="preserve">are brought to </w:t>
      </w:r>
      <w:r w:rsidR="00BD0851" w:rsidRPr="008313ED">
        <w:rPr>
          <w:rFonts w:asciiTheme="minorHAnsi" w:hAnsiTheme="minorHAnsi"/>
        </w:rPr>
        <w:t xml:space="preserve">CARB’s </w:t>
      </w:r>
      <w:r w:rsidR="00134CE3" w:rsidRPr="008313ED">
        <w:rPr>
          <w:rFonts w:asciiTheme="minorHAnsi" w:hAnsiTheme="minorHAnsi"/>
        </w:rPr>
        <w:t xml:space="preserve">attention during the implementation phase of the most recent amendments to the AB 2588 Hot Spots Emission Inventory and Criteria Guidelines </w:t>
      </w:r>
      <w:r w:rsidR="00D47868" w:rsidRPr="008313ED">
        <w:rPr>
          <w:rFonts w:asciiTheme="minorHAnsi" w:hAnsiTheme="minorHAnsi"/>
        </w:rPr>
        <w:t xml:space="preserve">Regulation </w:t>
      </w:r>
      <w:r w:rsidR="00134CE3" w:rsidRPr="008313ED">
        <w:rPr>
          <w:rFonts w:asciiTheme="minorHAnsi" w:hAnsiTheme="minorHAnsi"/>
        </w:rPr>
        <w:t xml:space="preserve">(EICG). </w:t>
      </w:r>
    </w:p>
    <w:p w14:paraId="27D56846" w14:textId="1D9AF338" w:rsidR="00D54573" w:rsidRPr="008313ED" w:rsidRDefault="00D54573" w:rsidP="00D54573">
      <w:pPr>
        <w:pStyle w:val="Heading3"/>
        <w:rPr>
          <w:rFonts w:asciiTheme="minorHAnsi" w:hAnsiTheme="minorHAnsi"/>
        </w:rPr>
      </w:pPr>
      <w:bookmarkStart w:id="2" w:name="_Toc187305839"/>
      <w:r w:rsidRPr="008313ED">
        <w:rPr>
          <w:rFonts w:asciiTheme="minorHAnsi" w:hAnsiTheme="minorHAnsi"/>
        </w:rPr>
        <w:t>Background</w:t>
      </w:r>
      <w:bookmarkEnd w:id="2"/>
    </w:p>
    <w:p w14:paraId="16845B37" w14:textId="7693C3E2" w:rsidR="00240684" w:rsidRPr="008313ED" w:rsidRDefault="00906F54" w:rsidP="00CE04FF">
      <w:pPr>
        <w:pStyle w:val="NormalWeb"/>
        <w:rPr>
          <w:rFonts w:asciiTheme="minorHAnsi" w:hAnsiTheme="minorHAnsi"/>
          <w:spacing w:val="1"/>
        </w:rPr>
      </w:pPr>
      <w:r w:rsidRPr="008313ED">
        <w:rPr>
          <w:rFonts w:asciiTheme="minorHAnsi" w:hAnsiTheme="minorHAnsi"/>
        </w:rPr>
        <w:t xml:space="preserve">On </w:t>
      </w:r>
      <w:r w:rsidR="00240684" w:rsidRPr="008313ED">
        <w:rPr>
          <w:rFonts w:asciiTheme="minorHAnsi" w:hAnsiTheme="minorHAnsi"/>
        </w:rPr>
        <w:t>November 19, 2020, the California Air Resources Board (CARB/Board) adopted amendments to the AB 2588 Air Toxics</w:t>
      </w:r>
      <w:r w:rsidR="00240684" w:rsidRPr="008313ED">
        <w:rPr>
          <w:rFonts w:asciiTheme="minorHAnsi" w:hAnsiTheme="minorHAnsi"/>
          <w:spacing w:val="-53"/>
        </w:rPr>
        <w:t xml:space="preserve"> </w:t>
      </w:r>
      <w:r w:rsidR="00BB4EB6" w:rsidRPr="008313ED">
        <w:rPr>
          <w:rFonts w:asciiTheme="minorHAnsi" w:hAnsiTheme="minorHAnsi"/>
        </w:rPr>
        <w:t>Hot Spots</w:t>
      </w:r>
      <w:r w:rsidR="00240684" w:rsidRPr="008313ED">
        <w:rPr>
          <w:rFonts w:asciiTheme="minorHAnsi" w:hAnsiTheme="minorHAnsi"/>
        </w:rPr>
        <w:t xml:space="preserve"> Emission Inventory Criteria and Guidelines Regulation</w:t>
      </w:r>
      <w:r w:rsidR="00E10266" w:rsidRPr="008313ED">
        <w:rPr>
          <w:rFonts w:asciiTheme="minorHAnsi" w:hAnsiTheme="minorHAnsi"/>
        </w:rPr>
        <w:t xml:space="preserve"> (EICG)</w:t>
      </w:r>
      <w:r w:rsidR="00240684" w:rsidRPr="008313ED">
        <w:rPr>
          <w:rFonts w:asciiTheme="minorHAnsi" w:hAnsiTheme="minorHAnsi"/>
        </w:rPr>
        <w:t xml:space="preserve"> (Guidelines, Section 93300.5, Title 17,</w:t>
      </w:r>
      <w:r w:rsidR="00240684" w:rsidRPr="008313ED">
        <w:rPr>
          <w:rFonts w:asciiTheme="minorHAnsi" w:hAnsiTheme="minorHAnsi"/>
          <w:spacing w:val="1"/>
        </w:rPr>
        <w:t xml:space="preserve"> </w:t>
      </w:r>
      <w:r w:rsidR="00240684" w:rsidRPr="008313ED">
        <w:rPr>
          <w:rFonts w:asciiTheme="minorHAnsi" w:hAnsiTheme="minorHAnsi"/>
        </w:rPr>
        <w:t>California</w:t>
      </w:r>
      <w:r w:rsidR="00240684" w:rsidRPr="008313ED">
        <w:rPr>
          <w:rFonts w:asciiTheme="minorHAnsi" w:hAnsiTheme="minorHAnsi"/>
          <w:spacing w:val="-3"/>
        </w:rPr>
        <w:t xml:space="preserve"> </w:t>
      </w:r>
      <w:r w:rsidR="00240684" w:rsidRPr="008313ED">
        <w:rPr>
          <w:rFonts w:asciiTheme="minorHAnsi" w:hAnsiTheme="minorHAnsi"/>
        </w:rPr>
        <w:t>Code</w:t>
      </w:r>
      <w:r w:rsidR="00240684" w:rsidRPr="008313ED">
        <w:rPr>
          <w:rFonts w:asciiTheme="minorHAnsi" w:hAnsiTheme="minorHAnsi"/>
          <w:spacing w:val="-3"/>
        </w:rPr>
        <w:t xml:space="preserve"> </w:t>
      </w:r>
      <w:r w:rsidR="00240684" w:rsidRPr="008313ED">
        <w:rPr>
          <w:rFonts w:asciiTheme="minorHAnsi" w:hAnsiTheme="minorHAnsi"/>
        </w:rPr>
        <w:t>of</w:t>
      </w:r>
      <w:r w:rsidR="00240684" w:rsidRPr="008313ED">
        <w:rPr>
          <w:rFonts w:asciiTheme="minorHAnsi" w:hAnsiTheme="minorHAnsi"/>
          <w:spacing w:val="-3"/>
        </w:rPr>
        <w:t xml:space="preserve"> </w:t>
      </w:r>
      <w:r w:rsidR="00240684" w:rsidRPr="008313ED">
        <w:rPr>
          <w:rFonts w:asciiTheme="minorHAnsi" w:hAnsiTheme="minorHAnsi"/>
        </w:rPr>
        <w:t>Regulations)</w:t>
      </w:r>
      <w:r w:rsidR="00240684" w:rsidRPr="008313ED">
        <w:rPr>
          <w:rFonts w:asciiTheme="minorHAnsi" w:hAnsiTheme="minorHAnsi"/>
          <w:spacing w:val="-3"/>
        </w:rPr>
        <w:t xml:space="preserve"> </w:t>
      </w:r>
      <w:r w:rsidR="00240684" w:rsidRPr="008313ED">
        <w:rPr>
          <w:rFonts w:asciiTheme="minorHAnsi" w:hAnsiTheme="minorHAnsi"/>
        </w:rPr>
        <w:t xml:space="preserve">to ensure continued protection of public health by collecting more comprehensive emission data, provide CARB and the local air districts with a better understanding of stationary source emissions, enhance the public access to information on toxic pollutant emissions, and require the reduction of localized health risks at facilities that may present significant impacts. The 2022 amendments are also designed to support community-focused efforts at CARB to reduce criteria pollutant and air toxic emissions from California’s most </w:t>
      </w:r>
      <w:r w:rsidR="00694A5D" w:rsidRPr="008313ED">
        <w:rPr>
          <w:rFonts w:asciiTheme="minorHAnsi" w:hAnsiTheme="minorHAnsi"/>
        </w:rPr>
        <w:t>overburdened</w:t>
      </w:r>
      <w:r w:rsidR="00240684" w:rsidRPr="008313ED">
        <w:rPr>
          <w:rFonts w:asciiTheme="minorHAnsi" w:hAnsiTheme="minorHAnsi"/>
        </w:rPr>
        <w:t xml:space="preserve"> communities</w:t>
      </w:r>
      <w:r w:rsidR="00240684" w:rsidRPr="008313ED">
        <w:rPr>
          <w:rFonts w:asciiTheme="minorHAnsi" w:hAnsiTheme="minorHAnsi"/>
          <w:color w:val="2D333D"/>
          <w:shd w:val="clear" w:color="auto" w:fill="FFFFFF"/>
        </w:rPr>
        <w:t>.</w:t>
      </w:r>
      <w:r w:rsidR="00240684" w:rsidRPr="008313ED">
        <w:rPr>
          <w:rFonts w:asciiTheme="minorHAnsi" w:hAnsiTheme="minorHAnsi"/>
          <w:spacing w:val="1"/>
        </w:rPr>
        <w:t xml:space="preserve"> </w:t>
      </w:r>
      <w:r w:rsidR="00240684" w:rsidRPr="008313ED">
        <w:rPr>
          <w:rFonts w:asciiTheme="minorHAnsi" w:hAnsiTheme="minorHAnsi"/>
        </w:rPr>
        <w:t xml:space="preserve">These amendments are available on the CARB website </w:t>
      </w:r>
      <w:hyperlink r:id="rId12" w:history="1">
        <w:r w:rsidR="000D0894" w:rsidRPr="008313ED">
          <w:rPr>
            <w:rStyle w:val="Hyperlink"/>
            <w:rFonts w:asciiTheme="minorHAnsi" w:hAnsiTheme="minorHAnsi"/>
          </w:rPr>
          <w:t>here</w:t>
        </w:r>
      </w:hyperlink>
      <w:r w:rsidR="00240684" w:rsidRPr="008313ED">
        <w:rPr>
          <w:rFonts w:asciiTheme="minorHAnsi" w:hAnsiTheme="minorHAnsi"/>
          <w:spacing w:val="1"/>
        </w:rPr>
        <w:t xml:space="preserve">. </w:t>
      </w:r>
    </w:p>
    <w:p w14:paraId="1C286904" w14:textId="3CBEFD2E" w:rsidR="00CE04FF" w:rsidRPr="008313ED" w:rsidRDefault="00CE04FF" w:rsidP="00CE04FF">
      <w:pPr>
        <w:pStyle w:val="NormalWeb"/>
        <w:rPr>
          <w:rFonts w:asciiTheme="minorHAnsi" w:hAnsiTheme="minorHAnsi"/>
          <w:bdr w:val="none" w:sz="0" w:space="0" w:color="auto" w:frame="1"/>
          <w:shd w:val="clear" w:color="auto" w:fill="FFFFFF"/>
        </w:rPr>
      </w:pPr>
      <w:r w:rsidRPr="008313ED">
        <w:rPr>
          <w:rFonts w:asciiTheme="minorHAnsi" w:hAnsiTheme="minorHAnsi"/>
        </w:rPr>
        <w:t xml:space="preserve">As a reminder, </w:t>
      </w:r>
      <w:r w:rsidRPr="008313ED">
        <w:rPr>
          <w:rFonts w:asciiTheme="minorHAnsi" w:hAnsiTheme="minorHAnsi"/>
          <w:bdr w:val="none" w:sz="0" w:space="0" w:color="auto" w:frame="1"/>
          <w:shd w:val="clear" w:color="auto" w:fill="FFFFFF"/>
        </w:rPr>
        <w:t>an interested party may submit a petition to the Executive Officer of the state board to request the addition of one or more substances to Appendix A</w:t>
      </w:r>
      <w:r w:rsidRPr="008313ED">
        <w:rPr>
          <w:rFonts w:asciiTheme="minorHAnsi" w:hAnsiTheme="minorHAnsi"/>
        </w:rPr>
        <w:t xml:space="preserve"> </w:t>
      </w:r>
      <w:r w:rsidRPr="008313ED">
        <w:rPr>
          <w:rFonts w:asciiTheme="minorHAnsi" w:hAnsiTheme="minorHAnsi"/>
          <w:bdr w:val="none" w:sz="0" w:space="0" w:color="auto" w:frame="1"/>
          <w:shd w:val="clear" w:color="auto" w:fill="FFFFFF"/>
        </w:rPr>
        <w:t xml:space="preserve">via </w:t>
      </w:r>
      <w:hyperlink r:id="rId13" w:history="1">
        <w:r w:rsidRPr="008313ED">
          <w:rPr>
            <w:rStyle w:val="Hyperlink"/>
            <w:rFonts w:asciiTheme="minorHAnsi" w:hAnsiTheme="minorHAnsi"/>
            <w:bdr w:val="none" w:sz="0" w:space="0" w:color="auto" w:frame="1"/>
            <w:shd w:val="clear" w:color="auto" w:fill="FFFFFF"/>
          </w:rPr>
          <w:t>ab2588ei@arb.ca.gov</w:t>
        </w:r>
      </w:hyperlink>
      <w:r w:rsidRPr="008313ED">
        <w:rPr>
          <w:rFonts w:asciiTheme="minorHAnsi" w:hAnsiTheme="minorHAnsi"/>
          <w:bdr w:val="none" w:sz="0" w:space="0" w:color="auto" w:frame="1"/>
          <w:shd w:val="clear" w:color="auto" w:fill="FFFFFF"/>
        </w:rPr>
        <w:t xml:space="preserve">. This email can also be used to reach out to the Toxics Inventory and Special Projects Section at CARB for questions about the </w:t>
      </w:r>
      <w:r w:rsidR="00BB4EB6" w:rsidRPr="008313ED">
        <w:rPr>
          <w:rFonts w:asciiTheme="minorHAnsi" w:hAnsiTheme="minorHAnsi"/>
          <w:bdr w:val="none" w:sz="0" w:space="0" w:color="auto" w:frame="1"/>
          <w:shd w:val="clear" w:color="auto" w:fill="FFFFFF"/>
        </w:rPr>
        <w:t>Hot Spots</w:t>
      </w:r>
      <w:r w:rsidRPr="008313ED">
        <w:rPr>
          <w:rFonts w:asciiTheme="minorHAnsi" w:hAnsiTheme="minorHAnsi"/>
          <w:bdr w:val="none" w:sz="0" w:space="0" w:color="auto" w:frame="1"/>
          <w:shd w:val="clear" w:color="auto" w:fill="FFFFFF"/>
        </w:rPr>
        <w:t xml:space="preserve"> Program. </w:t>
      </w:r>
    </w:p>
    <w:p w14:paraId="55517B38" w14:textId="372EDE28" w:rsidR="00CE04FF" w:rsidRPr="008313ED" w:rsidRDefault="00CE04FF" w:rsidP="00CE04FF">
      <w:pPr>
        <w:pStyle w:val="NormalWeb"/>
        <w:rPr>
          <w:rFonts w:asciiTheme="minorHAnsi" w:hAnsiTheme="minorHAnsi"/>
        </w:rPr>
      </w:pPr>
      <w:r w:rsidRPr="008313ED">
        <w:rPr>
          <w:rFonts w:asciiTheme="minorHAnsi" w:hAnsiTheme="minorHAnsi"/>
        </w:rPr>
        <w:t xml:space="preserve">You may also reach out to the Supervisor of the Toxics Inventory and Special Project’s section at CARB, Melissa Venecek at </w:t>
      </w:r>
      <w:hyperlink r:id="rId14">
        <w:r w:rsidRPr="008313ED">
          <w:rPr>
            <w:rStyle w:val="Hyperlink"/>
            <w:rFonts w:asciiTheme="minorHAnsi" w:hAnsiTheme="minorHAnsi"/>
          </w:rPr>
          <w:t>melissa.venecek@arb.ca.gov</w:t>
        </w:r>
        <w:r w:rsidR="4135FB49" w:rsidRPr="008313ED">
          <w:rPr>
            <w:rStyle w:val="Hyperlink"/>
            <w:rFonts w:asciiTheme="minorHAnsi" w:hAnsiTheme="minorHAnsi"/>
          </w:rPr>
          <w:t>.</w:t>
        </w:r>
      </w:hyperlink>
    </w:p>
    <w:p w14:paraId="57B6841C" w14:textId="77777777" w:rsidR="00CE04FF" w:rsidRPr="008313ED" w:rsidRDefault="00CE04FF">
      <w:pPr>
        <w:rPr>
          <w:rStyle w:val="Hyperlink"/>
          <w:rFonts w:asciiTheme="minorHAnsi" w:hAnsiTheme="minorHAnsi"/>
        </w:rPr>
      </w:pPr>
      <w:r w:rsidRPr="008313ED">
        <w:rPr>
          <w:rStyle w:val="Hyperlink"/>
          <w:rFonts w:asciiTheme="minorHAnsi" w:hAnsiTheme="minorHAnsi"/>
        </w:rPr>
        <w:br w:type="page"/>
      </w:r>
    </w:p>
    <w:sdt>
      <w:sdtPr>
        <w:rPr>
          <w:rFonts w:asciiTheme="minorHAnsi" w:hAnsiTheme="minorHAnsi"/>
        </w:rPr>
        <w:id w:val="721133553"/>
        <w:docPartObj>
          <w:docPartGallery w:val="Table of Contents"/>
          <w:docPartUnique/>
        </w:docPartObj>
      </w:sdtPr>
      <w:sdtEndPr/>
      <w:sdtContent>
        <w:p w14:paraId="598E83AC" w14:textId="0DBBEE7E" w:rsidR="00240684" w:rsidRPr="008313ED" w:rsidRDefault="6A79A0BF" w:rsidP="352303B0">
          <w:pPr>
            <w:rPr>
              <w:rFonts w:asciiTheme="minorHAnsi" w:hAnsiTheme="minorHAnsi"/>
            </w:rPr>
          </w:pPr>
          <w:r w:rsidRPr="008313ED">
            <w:rPr>
              <w:rFonts w:asciiTheme="minorHAnsi" w:hAnsiTheme="minorHAnsi"/>
            </w:rPr>
            <w:t xml:space="preserve">FAQ </w:t>
          </w:r>
          <w:r w:rsidR="2281D5BE" w:rsidRPr="008313ED">
            <w:rPr>
              <w:rFonts w:asciiTheme="minorHAnsi" w:hAnsiTheme="minorHAnsi"/>
            </w:rPr>
            <w:t>by Category:</w:t>
          </w:r>
        </w:p>
        <w:p w14:paraId="72797D37" w14:textId="2633A87B" w:rsidR="00F10EAB" w:rsidRPr="008313ED" w:rsidRDefault="000923A9">
          <w:pPr>
            <w:pStyle w:val="TOC1"/>
            <w:tabs>
              <w:tab w:val="right" w:leader="dot" w:pos="10070"/>
            </w:tabs>
            <w:rPr>
              <w:rFonts w:asciiTheme="minorHAnsi" w:eastAsiaTheme="minorEastAsia" w:hAnsiTheme="minorHAnsi" w:cstheme="minorBidi"/>
              <w:noProof/>
              <w:kern w:val="2"/>
              <w14:ligatures w14:val="standardContextual"/>
            </w:rPr>
          </w:pPr>
          <w:r w:rsidRPr="008313ED">
            <w:rPr>
              <w:rFonts w:asciiTheme="minorHAnsi" w:hAnsiTheme="minorHAnsi"/>
            </w:rPr>
            <w:fldChar w:fldCharType="begin"/>
          </w:r>
          <w:r w:rsidR="00240684" w:rsidRPr="008313ED">
            <w:rPr>
              <w:rFonts w:asciiTheme="minorHAnsi" w:hAnsiTheme="minorHAnsi"/>
            </w:rPr>
            <w:instrText>TOC \o "1-3" \h \z \u</w:instrText>
          </w:r>
          <w:r w:rsidRPr="008313ED">
            <w:rPr>
              <w:rFonts w:asciiTheme="minorHAnsi" w:hAnsiTheme="minorHAnsi"/>
            </w:rPr>
            <w:fldChar w:fldCharType="separate"/>
          </w:r>
          <w:hyperlink w:anchor="_Toc187305837" w:history="1">
            <w:r w:rsidR="00F10EAB" w:rsidRPr="008313ED">
              <w:rPr>
                <w:rStyle w:val="Hyperlink"/>
                <w:rFonts w:asciiTheme="minorHAnsi" w:hAnsiTheme="minorHAnsi"/>
                <w:noProof/>
              </w:rPr>
              <w:t>AB 2588 Hot Spots Frequently Asked Questions</w:t>
            </w:r>
            <w:r w:rsidR="00F10EAB" w:rsidRPr="008313ED">
              <w:rPr>
                <w:rFonts w:asciiTheme="minorHAnsi" w:hAnsiTheme="minorHAnsi"/>
                <w:noProof/>
                <w:webHidden/>
              </w:rPr>
              <w:tab/>
            </w:r>
            <w:r w:rsidR="00F10EAB" w:rsidRPr="008313ED">
              <w:rPr>
                <w:rFonts w:asciiTheme="minorHAnsi" w:hAnsiTheme="minorHAnsi"/>
                <w:noProof/>
                <w:webHidden/>
              </w:rPr>
              <w:fldChar w:fldCharType="begin"/>
            </w:r>
            <w:r w:rsidR="00F10EAB" w:rsidRPr="008313ED">
              <w:rPr>
                <w:rFonts w:asciiTheme="minorHAnsi" w:hAnsiTheme="minorHAnsi"/>
                <w:noProof/>
                <w:webHidden/>
              </w:rPr>
              <w:instrText xml:space="preserve"> PAGEREF _Toc187305837 \h </w:instrText>
            </w:r>
            <w:r w:rsidR="00F10EAB" w:rsidRPr="008313ED">
              <w:rPr>
                <w:rFonts w:asciiTheme="minorHAnsi" w:hAnsiTheme="minorHAnsi"/>
                <w:noProof/>
                <w:webHidden/>
              </w:rPr>
            </w:r>
            <w:r w:rsidR="00F10EAB" w:rsidRPr="008313ED">
              <w:rPr>
                <w:rFonts w:asciiTheme="minorHAnsi" w:hAnsiTheme="minorHAnsi"/>
                <w:noProof/>
                <w:webHidden/>
              </w:rPr>
              <w:fldChar w:fldCharType="separate"/>
            </w:r>
            <w:r w:rsidR="00F10EAB" w:rsidRPr="008313ED">
              <w:rPr>
                <w:rFonts w:asciiTheme="minorHAnsi" w:hAnsiTheme="minorHAnsi"/>
                <w:noProof/>
                <w:webHidden/>
              </w:rPr>
              <w:t>1</w:t>
            </w:r>
            <w:r w:rsidR="00F10EAB" w:rsidRPr="008313ED">
              <w:rPr>
                <w:rFonts w:asciiTheme="minorHAnsi" w:hAnsiTheme="minorHAnsi"/>
                <w:noProof/>
                <w:webHidden/>
              </w:rPr>
              <w:fldChar w:fldCharType="end"/>
            </w:r>
          </w:hyperlink>
        </w:p>
        <w:p w14:paraId="39C5A922" w14:textId="7B0095E9"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38" w:history="1">
            <w:r w:rsidRPr="008313ED">
              <w:rPr>
                <w:rStyle w:val="Hyperlink"/>
                <w:rFonts w:asciiTheme="minorHAnsi" w:hAnsiTheme="minorHAnsi"/>
                <w:noProof/>
              </w:rPr>
              <w:t>Purpose of this Document</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_Toc187305838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w:t>
            </w:r>
            <w:r w:rsidRPr="008313ED">
              <w:rPr>
                <w:rFonts w:asciiTheme="minorHAnsi" w:hAnsiTheme="minorHAnsi"/>
                <w:noProof/>
                <w:webHidden/>
              </w:rPr>
              <w:fldChar w:fldCharType="end"/>
            </w:r>
          </w:hyperlink>
        </w:p>
        <w:p w14:paraId="6EF64475" w14:textId="65033B2C"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39" w:history="1">
            <w:r w:rsidRPr="008313ED">
              <w:rPr>
                <w:rStyle w:val="Hyperlink"/>
                <w:rFonts w:asciiTheme="minorHAnsi" w:hAnsiTheme="minorHAnsi"/>
                <w:noProof/>
              </w:rPr>
              <w:t>Background</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_Toc187305839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w:t>
            </w:r>
            <w:r w:rsidRPr="008313ED">
              <w:rPr>
                <w:rFonts w:asciiTheme="minorHAnsi" w:hAnsiTheme="minorHAnsi"/>
                <w:noProof/>
                <w:webHidden/>
              </w:rPr>
              <w:fldChar w:fldCharType="end"/>
            </w:r>
          </w:hyperlink>
        </w:p>
        <w:p w14:paraId="78AD24CD" w14:textId="7D2A9162" w:rsidR="00F10EAB" w:rsidRPr="008313ED" w:rsidRDefault="00F10EAB">
          <w:pPr>
            <w:pStyle w:val="TOC1"/>
            <w:tabs>
              <w:tab w:val="right" w:leader="dot" w:pos="10070"/>
            </w:tabs>
            <w:rPr>
              <w:rFonts w:asciiTheme="minorHAnsi" w:eastAsiaTheme="minorEastAsia" w:hAnsiTheme="minorHAnsi" w:cstheme="minorBidi"/>
              <w:noProof/>
              <w:kern w:val="2"/>
              <w14:ligatures w14:val="standardContextual"/>
            </w:rPr>
          </w:pPr>
          <w:hyperlink w:anchor="_Toc187305840" w:history="1">
            <w:r w:rsidRPr="008313ED">
              <w:rPr>
                <w:rStyle w:val="Hyperlink"/>
                <w:rFonts w:asciiTheme="minorHAnsi" w:hAnsiTheme="minorHAnsi"/>
                <w:noProof/>
              </w:rPr>
              <w:t>General</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_Toc187305840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5</w:t>
            </w:r>
            <w:r w:rsidRPr="008313ED">
              <w:rPr>
                <w:rFonts w:asciiTheme="minorHAnsi" w:hAnsiTheme="minorHAnsi"/>
                <w:noProof/>
                <w:webHidden/>
              </w:rPr>
              <w:fldChar w:fldCharType="end"/>
            </w:r>
          </w:hyperlink>
        </w:p>
        <w:p w14:paraId="2569C6AF" w14:textId="09D1BA89"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41" w:history="1">
            <w:r w:rsidRPr="008313ED">
              <w:rPr>
                <w:rStyle w:val="Hyperlink"/>
                <w:rFonts w:asciiTheme="minorHAnsi" w:hAnsiTheme="minorHAnsi"/>
                <w:noProof/>
              </w:rPr>
              <w:t>Who is subject to the AB 2588 Hot Spots Program?</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_Toc187305841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5</w:t>
            </w:r>
            <w:r w:rsidRPr="008313ED">
              <w:rPr>
                <w:rFonts w:asciiTheme="minorHAnsi" w:hAnsiTheme="minorHAnsi"/>
                <w:noProof/>
                <w:webHidden/>
              </w:rPr>
              <w:fldChar w:fldCharType="end"/>
            </w:r>
          </w:hyperlink>
        </w:p>
        <w:p w14:paraId="65F7E4F0" w14:textId="0ADECFF7"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42" w:history="1">
            <w:r w:rsidRPr="008313ED">
              <w:rPr>
                <w:rStyle w:val="Hyperlink"/>
                <w:rFonts w:asciiTheme="minorHAnsi" w:hAnsiTheme="minorHAnsi"/>
                <w:noProof/>
              </w:rPr>
              <w:t>Who</w:t>
            </w:r>
            <w:r w:rsidRPr="008313ED">
              <w:rPr>
                <w:rStyle w:val="Hyperlink"/>
                <w:rFonts w:asciiTheme="minorHAnsi" w:hAnsiTheme="minorHAnsi"/>
                <w:noProof/>
                <w:spacing w:val="-3"/>
              </w:rPr>
              <w:t xml:space="preserve"> </w:t>
            </w:r>
            <w:r w:rsidRPr="008313ED">
              <w:rPr>
                <w:rStyle w:val="Hyperlink"/>
                <w:rFonts w:asciiTheme="minorHAnsi" w:hAnsiTheme="minorHAnsi"/>
                <w:noProof/>
              </w:rPr>
              <w:t>enforces</w:t>
            </w:r>
            <w:r w:rsidRPr="008313ED">
              <w:rPr>
                <w:rStyle w:val="Hyperlink"/>
                <w:rFonts w:asciiTheme="minorHAnsi" w:hAnsiTheme="minorHAnsi"/>
                <w:noProof/>
                <w:spacing w:val="-4"/>
              </w:rPr>
              <w:t xml:space="preserve"> </w:t>
            </w:r>
            <w:r w:rsidRPr="008313ED">
              <w:rPr>
                <w:rStyle w:val="Hyperlink"/>
                <w:rFonts w:asciiTheme="minorHAnsi" w:hAnsiTheme="minorHAnsi"/>
                <w:noProof/>
              </w:rPr>
              <w:t>the</w:t>
            </w:r>
            <w:r w:rsidRPr="008313ED">
              <w:rPr>
                <w:rStyle w:val="Hyperlink"/>
                <w:rFonts w:asciiTheme="minorHAnsi" w:hAnsiTheme="minorHAnsi"/>
                <w:noProof/>
                <w:spacing w:val="-3"/>
              </w:rPr>
              <w:t xml:space="preserve"> </w:t>
            </w:r>
            <w:r w:rsidRPr="008313ED">
              <w:rPr>
                <w:rStyle w:val="Hyperlink"/>
                <w:rFonts w:asciiTheme="minorHAnsi" w:hAnsiTheme="minorHAnsi"/>
                <w:noProof/>
              </w:rPr>
              <w:t>Hot Spots</w:t>
            </w:r>
            <w:r w:rsidRPr="008313ED">
              <w:rPr>
                <w:rStyle w:val="Hyperlink"/>
                <w:rFonts w:asciiTheme="minorHAnsi" w:hAnsiTheme="minorHAnsi"/>
                <w:noProof/>
                <w:spacing w:val="-2"/>
              </w:rPr>
              <w:t xml:space="preserve"> </w:t>
            </w:r>
            <w:r w:rsidRPr="008313ED">
              <w:rPr>
                <w:rStyle w:val="Hyperlink"/>
                <w:rFonts w:asciiTheme="minorHAnsi" w:hAnsiTheme="minorHAnsi"/>
                <w:noProof/>
              </w:rPr>
              <w:t>Law?</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_Toc187305842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5</w:t>
            </w:r>
            <w:r w:rsidRPr="008313ED">
              <w:rPr>
                <w:rFonts w:asciiTheme="minorHAnsi" w:hAnsiTheme="minorHAnsi"/>
                <w:noProof/>
                <w:webHidden/>
              </w:rPr>
              <w:fldChar w:fldCharType="end"/>
            </w:r>
          </w:hyperlink>
        </w:p>
        <w:p w14:paraId="7216C252" w14:textId="41E83C90"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43" w:history="1">
            <w:r w:rsidRPr="008313ED">
              <w:rPr>
                <w:rStyle w:val="Hyperlink"/>
                <w:rFonts w:asciiTheme="minorHAnsi" w:hAnsiTheme="minorHAnsi"/>
                <w:noProof/>
              </w:rPr>
              <w:t>How</w:t>
            </w:r>
            <w:r w:rsidRPr="008313ED">
              <w:rPr>
                <w:rStyle w:val="Hyperlink"/>
                <w:rFonts w:asciiTheme="minorHAnsi" w:hAnsiTheme="minorHAnsi"/>
                <w:noProof/>
                <w:spacing w:val="2"/>
              </w:rPr>
              <w:t xml:space="preserve"> </w:t>
            </w:r>
            <w:r w:rsidRPr="008313ED">
              <w:rPr>
                <w:rStyle w:val="Hyperlink"/>
                <w:rFonts w:asciiTheme="minorHAnsi" w:hAnsiTheme="minorHAnsi"/>
                <w:noProof/>
              </w:rPr>
              <w:t>are</w:t>
            </w:r>
            <w:r w:rsidRPr="008313ED">
              <w:rPr>
                <w:rStyle w:val="Hyperlink"/>
                <w:rFonts w:asciiTheme="minorHAnsi" w:hAnsiTheme="minorHAnsi"/>
                <w:noProof/>
                <w:spacing w:val="-2"/>
              </w:rPr>
              <w:t xml:space="preserve"> </w:t>
            </w:r>
            <w:r w:rsidRPr="008313ED">
              <w:rPr>
                <w:rStyle w:val="Hyperlink"/>
                <w:rFonts w:asciiTheme="minorHAnsi" w:hAnsiTheme="minorHAnsi"/>
                <w:noProof/>
              </w:rPr>
              <w:t>changes</w:t>
            </w:r>
            <w:r w:rsidRPr="008313ED">
              <w:rPr>
                <w:rStyle w:val="Hyperlink"/>
                <w:rFonts w:asciiTheme="minorHAnsi" w:hAnsiTheme="minorHAnsi"/>
                <w:noProof/>
                <w:spacing w:val="-2"/>
              </w:rPr>
              <w:t xml:space="preserve"> </w:t>
            </w:r>
            <w:r w:rsidRPr="008313ED">
              <w:rPr>
                <w:rStyle w:val="Hyperlink"/>
                <w:rFonts w:asciiTheme="minorHAnsi" w:hAnsiTheme="minorHAnsi"/>
                <w:noProof/>
              </w:rPr>
              <w:t>to</w:t>
            </w:r>
            <w:r w:rsidRPr="008313ED">
              <w:rPr>
                <w:rStyle w:val="Hyperlink"/>
                <w:rFonts w:asciiTheme="minorHAnsi" w:hAnsiTheme="minorHAnsi"/>
                <w:noProof/>
                <w:spacing w:val="-3"/>
              </w:rPr>
              <w:t xml:space="preserve"> </w:t>
            </w:r>
            <w:r w:rsidRPr="008313ED">
              <w:rPr>
                <w:rStyle w:val="Hyperlink"/>
                <w:rFonts w:asciiTheme="minorHAnsi" w:hAnsiTheme="minorHAnsi"/>
                <w:noProof/>
              </w:rPr>
              <w:t>Hot Spots</w:t>
            </w:r>
            <w:r w:rsidRPr="008313ED">
              <w:rPr>
                <w:rStyle w:val="Hyperlink"/>
                <w:rFonts w:asciiTheme="minorHAnsi" w:hAnsiTheme="minorHAnsi"/>
                <w:noProof/>
                <w:spacing w:val="-2"/>
              </w:rPr>
              <w:t xml:space="preserve"> </w:t>
            </w:r>
            <w:r w:rsidRPr="008313ED">
              <w:rPr>
                <w:rStyle w:val="Hyperlink"/>
                <w:rFonts w:asciiTheme="minorHAnsi" w:hAnsiTheme="minorHAnsi"/>
                <w:noProof/>
              </w:rPr>
              <w:t>made?</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_Toc187305843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5</w:t>
            </w:r>
            <w:r w:rsidRPr="008313ED">
              <w:rPr>
                <w:rFonts w:asciiTheme="minorHAnsi" w:hAnsiTheme="minorHAnsi"/>
                <w:noProof/>
                <w:webHidden/>
              </w:rPr>
              <w:fldChar w:fldCharType="end"/>
            </w:r>
          </w:hyperlink>
        </w:p>
        <w:p w14:paraId="6E29BCA5" w14:textId="31BE02D6"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44" w:history="1">
            <w:r w:rsidRPr="008313ED">
              <w:rPr>
                <w:rStyle w:val="Hyperlink"/>
                <w:rFonts w:asciiTheme="minorHAnsi" w:hAnsiTheme="minorHAnsi"/>
                <w:noProof/>
              </w:rPr>
              <w:t>What</w:t>
            </w:r>
            <w:r w:rsidRPr="008313ED">
              <w:rPr>
                <w:rStyle w:val="Hyperlink"/>
                <w:rFonts w:asciiTheme="minorHAnsi" w:hAnsiTheme="minorHAnsi"/>
                <w:noProof/>
                <w:spacing w:val="-2"/>
              </w:rPr>
              <w:t xml:space="preserve"> </w:t>
            </w:r>
            <w:r w:rsidRPr="008313ED">
              <w:rPr>
                <w:rStyle w:val="Hyperlink"/>
                <w:rFonts w:asciiTheme="minorHAnsi" w:hAnsiTheme="minorHAnsi"/>
                <w:noProof/>
              </w:rPr>
              <w:t>changes</w:t>
            </w:r>
            <w:r w:rsidRPr="008313ED">
              <w:rPr>
                <w:rStyle w:val="Hyperlink"/>
                <w:rFonts w:asciiTheme="minorHAnsi" w:hAnsiTheme="minorHAnsi"/>
                <w:noProof/>
                <w:spacing w:val="-6"/>
              </w:rPr>
              <w:t xml:space="preserve"> </w:t>
            </w:r>
            <w:r w:rsidRPr="008313ED">
              <w:rPr>
                <w:rStyle w:val="Hyperlink"/>
                <w:rFonts w:asciiTheme="minorHAnsi" w:hAnsiTheme="minorHAnsi"/>
                <w:noProof/>
              </w:rPr>
              <w:t>were</w:t>
            </w:r>
            <w:r w:rsidRPr="008313ED">
              <w:rPr>
                <w:rStyle w:val="Hyperlink"/>
                <w:rFonts w:asciiTheme="minorHAnsi" w:hAnsiTheme="minorHAnsi"/>
                <w:noProof/>
                <w:spacing w:val="-3"/>
              </w:rPr>
              <w:t xml:space="preserve"> </w:t>
            </w:r>
            <w:r w:rsidRPr="008313ED">
              <w:rPr>
                <w:rStyle w:val="Hyperlink"/>
                <w:rFonts w:asciiTheme="minorHAnsi" w:hAnsiTheme="minorHAnsi"/>
                <w:noProof/>
              </w:rPr>
              <w:t>approved by</w:t>
            </w:r>
            <w:r w:rsidRPr="008313ED">
              <w:rPr>
                <w:rStyle w:val="Hyperlink"/>
                <w:rFonts w:asciiTheme="minorHAnsi" w:hAnsiTheme="minorHAnsi"/>
                <w:noProof/>
                <w:spacing w:val="-6"/>
              </w:rPr>
              <w:t xml:space="preserve"> </w:t>
            </w:r>
            <w:r w:rsidRPr="008313ED">
              <w:rPr>
                <w:rStyle w:val="Hyperlink"/>
                <w:rFonts w:asciiTheme="minorHAnsi" w:hAnsiTheme="minorHAnsi"/>
                <w:noProof/>
              </w:rPr>
              <w:t>the</w:t>
            </w:r>
            <w:r w:rsidRPr="008313ED">
              <w:rPr>
                <w:rStyle w:val="Hyperlink"/>
                <w:rFonts w:asciiTheme="minorHAnsi" w:hAnsiTheme="minorHAnsi"/>
                <w:noProof/>
                <w:spacing w:val="-2"/>
              </w:rPr>
              <w:t xml:space="preserve"> </w:t>
            </w:r>
            <w:r w:rsidRPr="008313ED">
              <w:rPr>
                <w:rStyle w:val="Hyperlink"/>
                <w:rFonts w:asciiTheme="minorHAnsi" w:hAnsiTheme="minorHAnsi"/>
                <w:noProof/>
              </w:rPr>
              <w:t>Board</w:t>
            </w:r>
            <w:r w:rsidRPr="008313ED">
              <w:rPr>
                <w:rStyle w:val="Hyperlink"/>
                <w:rFonts w:asciiTheme="minorHAnsi" w:hAnsiTheme="minorHAnsi"/>
                <w:noProof/>
                <w:spacing w:val="-3"/>
              </w:rPr>
              <w:t xml:space="preserve"> </w:t>
            </w:r>
            <w:r w:rsidRPr="008313ED">
              <w:rPr>
                <w:rStyle w:val="Hyperlink"/>
                <w:rFonts w:asciiTheme="minorHAnsi" w:hAnsiTheme="minorHAnsi"/>
                <w:noProof/>
              </w:rPr>
              <w:t>in</w:t>
            </w:r>
            <w:r w:rsidRPr="008313ED">
              <w:rPr>
                <w:rStyle w:val="Hyperlink"/>
                <w:rFonts w:asciiTheme="minorHAnsi" w:hAnsiTheme="minorHAnsi"/>
                <w:noProof/>
                <w:spacing w:val="-2"/>
              </w:rPr>
              <w:t xml:space="preserve"> </w:t>
            </w:r>
            <w:r w:rsidRPr="008313ED">
              <w:rPr>
                <w:rStyle w:val="Hyperlink"/>
                <w:rFonts w:asciiTheme="minorHAnsi" w:hAnsiTheme="minorHAnsi"/>
                <w:noProof/>
              </w:rPr>
              <w:t>November</w:t>
            </w:r>
            <w:r w:rsidRPr="008313ED">
              <w:rPr>
                <w:rStyle w:val="Hyperlink"/>
                <w:rFonts w:asciiTheme="minorHAnsi" w:hAnsiTheme="minorHAnsi"/>
                <w:noProof/>
                <w:spacing w:val="-3"/>
              </w:rPr>
              <w:t xml:space="preserve"> </w:t>
            </w:r>
            <w:r w:rsidRPr="008313ED">
              <w:rPr>
                <w:rStyle w:val="Hyperlink"/>
                <w:rFonts w:asciiTheme="minorHAnsi" w:hAnsiTheme="minorHAnsi"/>
                <w:noProof/>
              </w:rPr>
              <w:t>2020?</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_Toc187305844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5</w:t>
            </w:r>
            <w:r w:rsidRPr="008313ED">
              <w:rPr>
                <w:rFonts w:asciiTheme="minorHAnsi" w:hAnsiTheme="minorHAnsi"/>
                <w:noProof/>
                <w:webHidden/>
              </w:rPr>
              <w:fldChar w:fldCharType="end"/>
            </w:r>
          </w:hyperlink>
        </w:p>
        <w:p w14:paraId="523705B2" w14:textId="6FE54689"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45" w:history="1">
            <w:r w:rsidRPr="008313ED">
              <w:rPr>
                <w:rStyle w:val="Hyperlink"/>
                <w:rFonts w:asciiTheme="minorHAnsi" w:hAnsiTheme="minorHAnsi"/>
                <w:noProof/>
              </w:rPr>
              <w:t>When</w:t>
            </w:r>
            <w:r w:rsidRPr="008313ED">
              <w:rPr>
                <w:rStyle w:val="Hyperlink"/>
                <w:rFonts w:asciiTheme="minorHAnsi" w:hAnsiTheme="minorHAnsi"/>
                <w:noProof/>
                <w:spacing w:val="-5"/>
              </w:rPr>
              <w:t xml:space="preserve"> </w:t>
            </w:r>
            <w:r w:rsidRPr="008313ED">
              <w:rPr>
                <w:rStyle w:val="Hyperlink"/>
                <w:rFonts w:asciiTheme="minorHAnsi" w:hAnsiTheme="minorHAnsi"/>
                <w:noProof/>
              </w:rPr>
              <w:t>did</w:t>
            </w:r>
            <w:r w:rsidRPr="008313ED">
              <w:rPr>
                <w:rStyle w:val="Hyperlink"/>
                <w:rFonts w:asciiTheme="minorHAnsi" w:hAnsiTheme="minorHAnsi"/>
                <w:noProof/>
                <w:spacing w:val="-5"/>
              </w:rPr>
              <w:t xml:space="preserve"> </w:t>
            </w:r>
            <w:r w:rsidRPr="008313ED">
              <w:rPr>
                <w:rStyle w:val="Hyperlink"/>
                <w:rFonts w:asciiTheme="minorHAnsi" w:hAnsiTheme="minorHAnsi"/>
                <w:noProof/>
              </w:rPr>
              <w:t>these</w:t>
            </w:r>
            <w:r w:rsidRPr="008313ED">
              <w:rPr>
                <w:rStyle w:val="Hyperlink"/>
                <w:rFonts w:asciiTheme="minorHAnsi" w:hAnsiTheme="minorHAnsi"/>
                <w:noProof/>
                <w:spacing w:val="-5"/>
              </w:rPr>
              <w:t xml:space="preserve"> </w:t>
            </w:r>
            <w:r w:rsidRPr="008313ED">
              <w:rPr>
                <w:rStyle w:val="Hyperlink"/>
                <w:rFonts w:asciiTheme="minorHAnsi" w:hAnsiTheme="minorHAnsi"/>
                <w:noProof/>
              </w:rPr>
              <w:t>new</w:t>
            </w:r>
            <w:r w:rsidRPr="008313ED">
              <w:rPr>
                <w:rStyle w:val="Hyperlink"/>
                <w:rFonts w:asciiTheme="minorHAnsi" w:hAnsiTheme="minorHAnsi"/>
                <w:noProof/>
                <w:spacing w:val="-1"/>
              </w:rPr>
              <w:t xml:space="preserve"> </w:t>
            </w:r>
            <w:r w:rsidRPr="008313ED">
              <w:rPr>
                <w:rStyle w:val="Hyperlink"/>
                <w:rFonts w:asciiTheme="minorHAnsi" w:hAnsiTheme="minorHAnsi"/>
                <w:noProof/>
              </w:rPr>
              <w:t>requirements</w:t>
            </w:r>
            <w:r w:rsidRPr="008313ED">
              <w:rPr>
                <w:rStyle w:val="Hyperlink"/>
                <w:rFonts w:asciiTheme="minorHAnsi" w:hAnsiTheme="minorHAnsi"/>
                <w:noProof/>
                <w:spacing w:val="-5"/>
              </w:rPr>
              <w:t xml:space="preserve"> </w:t>
            </w:r>
            <w:r w:rsidRPr="008313ED">
              <w:rPr>
                <w:rStyle w:val="Hyperlink"/>
                <w:rFonts w:asciiTheme="minorHAnsi" w:hAnsiTheme="minorHAnsi"/>
                <w:noProof/>
              </w:rPr>
              <w:t>become</w:t>
            </w:r>
            <w:r w:rsidRPr="008313ED">
              <w:rPr>
                <w:rStyle w:val="Hyperlink"/>
                <w:rFonts w:asciiTheme="minorHAnsi" w:hAnsiTheme="minorHAnsi"/>
                <w:noProof/>
                <w:spacing w:val="-4"/>
              </w:rPr>
              <w:t xml:space="preserve"> </w:t>
            </w:r>
            <w:r w:rsidRPr="008313ED">
              <w:rPr>
                <w:rStyle w:val="Hyperlink"/>
                <w:rFonts w:asciiTheme="minorHAnsi" w:hAnsiTheme="minorHAnsi"/>
                <w:noProof/>
              </w:rPr>
              <w:t>applicable?</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_Toc187305845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5</w:t>
            </w:r>
            <w:r w:rsidRPr="008313ED">
              <w:rPr>
                <w:rFonts w:asciiTheme="minorHAnsi" w:hAnsiTheme="minorHAnsi"/>
                <w:noProof/>
                <w:webHidden/>
              </w:rPr>
              <w:fldChar w:fldCharType="end"/>
            </w:r>
          </w:hyperlink>
        </w:p>
        <w:p w14:paraId="23E24BF7" w14:textId="312E0E8D"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46" w:history="1">
            <w:r w:rsidRPr="008313ED">
              <w:rPr>
                <w:rStyle w:val="Hyperlink"/>
                <w:rFonts w:asciiTheme="minorHAnsi" w:eastAsia="Segoe UI" w:hAnsiTheme="minorHAnsi"/>
                <w:noProof/>
              </w:rPr>
              <w:t>How is emission inventory reporting different from an air district annual report?</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_Toc187305846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6</w:t>
            </w:r>
            <w:r w:rsidRPr="008313ED">
              <w:rPr>
                <w:rFonts w:asciiTheme="minorHAnsi" w:hAnsiTheme="minorHAnsi"/>
                <w:noProof/>
                <w:webHidden/>
              </w:rPr>
              <w:fldChar w:fldCharType="end"/>
            </w:r>
          </w:hyperlink>
        </w:p>
        <w:p w14:paraId="3B891574" w14:textId="75C59AF4"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47" w:history="1">
            <w:r w:rsidRPr="008313ED">
              <w:rPr>
                <w:rStyle w:val="Hyperlink"/>
                <w:rFonts w:asciiTheme="minorHAnsi" w:eastAsia="Segoe UI" w:hAnsiTheme="minorHAnsi"/>
                <w:noProof/>
              </w:rPr>
              <w:t>When does a district need to reevaluate a facility’s prioritization score, for both on-going facilities and previously exempt facilities?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_Toc187305847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7</w:t>
            </w:r>
            <w:r w:rsidRPr="008313ED">
              <w:rPr>
                <w:rFonts w:asciiTheme="minorHAnsi" w:hAnsiTheme="minorHAnsi"/>
                <w:noProof/>
                <w:webHidden/>
              </w:rPr>
              <w:fldChar w:fldCharType="end"/>
            </w:r>
          </w:hyperlink>
        </w:p>
        <w:p w14:paraId="1508CB00" w14:textId="2E8AF5CF"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48" w:history="1">
            <w:r w:rsidRPr="008313ED">
              <w:rPr>
                <w:rStyle w:val="Hyperlink"/>
                <w:rFonts w:asciiTheme="minorHAnsi" w:eastAsia="Segoe UI" w:hAnsiTheme="minorHAnsi" w:cs="Segoe UI"/>
                <w:bCs/>
                <w:noProof/>
              </w:rPr>
              <w:t>What should be reflected in Air Districts’ prioritization calculation methodologies?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_Toc187305848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8</w:t>
            </w:r>
            <w:r w:rsidRPr="008313ED">
              <w:rPr>
                <w:rFonts w:asciiTheme="minorHAnsi" w:hAnsiTheme="minorHAnsi"/>
                <w:noProof/>
                <w:webHidden/>
              </w:rPr>
              <w:fldChar w:fldCharType="end"/>
            </w:r>
          </w:hyperlink>
        </w:p>
        <w:p w14:paraId="0D6079E6" w14:textId="1CA9DDC1"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49" w:history="1">
            <w:r w:rsidRPr="008313ED">
              <w:rPr>
                <w:rStyle w:val="Hyperlink"/>
                <w:rFonts w:asciiTheme="minorHAnsi" w:hAnsiTheme="minorHAnsi"/>
                <w:noProof/>
              </w:rPr>
              <w:t>How</w:t>
            </w:r>
            <w:r w:rsidRPr="008313ED">
              <w:rPr>
                <w:rStyle w:val="Hyperlink"/>
                <w:rFonts w:asciiTheme="minorHAnsi" w:hAnsiTheme="minorHAnsi"/>
                <w:noProof/>
                <w:spacing w:val="1"/>
              </w:rPr>
              <w:t xml:space="preserve"> </w:t>
            </w:r>
            <w:r w:rsidRPr="008313ED">
              <w:rPr>
                <w:rStyle w:val="Hyperlink"/>
                <w:rFonts w:asciiTheme="minorHAnsi" w:hAnsiTheme="minorHAnsi"/>
                <w:noProof/>
              </w:rPr>
              <w:t>can</w:t>
            </w:r>
            <w:r w:rsidRPr="008313ED">
              <w:rPr>
                <w:rStyle w:val="Hyperlink"/>
                <w:rFonts w:asciiTheme="minorHAnsi" w:hAnsiTheme="minorHAnsi"/>
                <w:noProof/>
                <w:spacing w:val="-2"/>
              </w:rPr>
              <w:t xml:space="preserve"> </w:t>
            </w:r>
            <w:r w:rsidRPr="008313ED">
              <w:rPr>
                <w:rStyle w:val="Hyperlink"/>
                <w:rFonts w:asciiTheme="minorHAnsi" w:hAnsiTheme="minorHAnsi"/>
                <w:noProof/>
              </w:rPr>
              <w:t>I</w:t>
            </w:r>
            <w:r w:rsidRPr="008313ED">
              <w:rPr>
                <w:rStyle w:val="Hyperlink"/>
                <w:rFonts w:asciiTheme="minorHAnsi" w:hAnsiTheme="minorHAnsi"/>
                <w:noProof/>
                <w:spacing w:val="-3"/>
              </w:rPr>
              <w:t xml:space="preserve"> </w:t>
            </w:r>
            <w:r w:rsidRPr="008313ED">
              <w:rPr>
                <w:rStyle w:val="Hyperlink"/>
                <w:rFonts w:asciiTheme="minorHAnsi" w:hAnsiTheme="minorHAnsi"/>
                <w:noProof/>
              </w:rPr>
              <w:t>get</w:t>
            </w:r>
            <w:r w:rsidRPr="008313ED">
              <w:rPr>
                <w:rStyle w:val="Hyperlink"/>
                <w:rFonts w:asciiTheme="minorHAnsi" w:hAnsiTheme="minorHAnsi"/>
                <w:noProof/>
                <w:spacing w:val="-2"/>
              </w:rPr>
              <w:t xml:space="preserve"> </w:t>
            </w:r>
            <w:r w:rsidRPr="008313ED">
              <w:rPr>
                <w:rStyle w:val="Hyperlink"/>
                <w:rFonts w:asciiTheme="minorHAnsi" w:hAnsiTheme="minorHAnsi"/>
                <w:noProof/>
              </w:rPr>
              <w:t>more</w:t>
            </w:r>
            <w:r w:rsidRPr="008313ED">
              <w:rPr>
                <w:rStyle w:val="Hyperlink"/>
                <w:rFonts w:asciiTheme="minorHAnsi" w:hAnsiTheme="minorHAnsi"/>
                <w:noProof/>
                <w:spacing w:val="-3"/>
              </w:rPr>
              <w:t xml:space="preserve"> </w:t>
            </w:r>
            <w:r w:rsidRPr="008313ED">
              <w:rPr>
                <w:rStyle w:val="Hyperlink"/>
                <w:rFonts w:asciiTheme="minorHAnsi" w:hAnsiTheme="minorHAnsi"/>
                <w:noProof/>
              </w:rPr>
              <w:t>information</w:t>
            </w:r>
            <w:r w:rsidRPr="008313ED">
              <w:rPr>
                <w:rStyle w:val="Hyperlink"/>
                <w:rFonts w:asciiTheme="minorHAnsi" w:hAnsiTheme="minorHAnsi"/>
                <w:noProof/>
                <w:spacing w:val="-2"/>
              </w:rPr>
              <w:t xml:space="preserve"> </w:t>
            </w:r>
            <w:r w:rsidRPr="008313ED">
              <w:rPr>
                <w:rStyle w:val="Hyperlink"/>
                <w:rFonts w:asciiTheme="minorHAnsi" w:hAnsiTheme="minorHAnsi"/>
                <w:noProof/>
              </w:rPr>
              <w:t>about</w:t>
            </w:r>
            <w:r w:rsidRPr="008313ED">
              <w:rPr>
                <w:rStyle w:val="Hyperlink"/>
                <w:rFonts w:asciiTheme="minorHAnsi" w:hAnsiTheme="minorHAnsi"/>
                <w:noProof/>
                <w:spacing w:val="-2"/>
              </w:rPr>
              <w:t xml:space="preserve"> </w:t>
            </w:r>
            <w:r w:rsidRPr="008313ED">
              <w:rPr>
                <w:rStyle w:val="Hyperlink"/>
                <w:rFonts w:asciiTheme="minorHAnsi" w:hAnsiTheme="minorHAnsi"/>
                <w:noProof/>
              </w:rPr>
              <w:t>Hot Spots?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_Toc187305849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9</w:t>
            </w:r>
            <w:r w:rsidRPr="008313ED">
              <w:rPr>
                <w:rFonts w:asciiTheme="minorHAnsi" w:hAnsiTheme="minorHAnsi"/>
                <w:noProof/>
                <w:webHidden/>
              </w:rPr>
              <w:fldChar w:fldCharType="end"/>
            </w:r>
          </w:hyperlink>
        </w:p>
        <w:p w14:paraId="49311730" w14:textId="65B13C8A" w:rsidR="00F10EAB" w:rsidRPr="008313ED" w:rsidRDefault="00F10EAB">
          <w:pPr>
            <w:pStyle w:val="TOC1"/>
            <w:tabs>
              <w:tab w:val="right" w:leader="dot" w:pos="10070"/>
            </w:tabs>
            <w:rPr>
              <w:rFonts w:asciiTheme="minorHAnsi" w:eastAsiaTheme="minorEastAsia" w:hAnsiTheme="minorHAnsi" w:cstheme="minorBidi"/>
              <w:noProof/>
              <w:kern w:val="2"/>
              <w14:ligatures w14:val="standardContextual"/>
            </w:rPr>
          </w:pPr>
          <w:hyperlink w:anchor="_Toc187305850" w:history="1">
            <w:r w:rsidRPr="008313ED">
              <w:rPr>
                <w:rStyle w:val="Hyperlink"/>
                <w:rFonts w:asciiTheme="minorHAnsi" w:hAnsiTheme="minorHAnsi"/>
                <w:noProof/>
              </w:rPr>
              <w:t>Facilities, Operators and Devices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_Toc187305850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10</w:t>
            </w:r>
            <w:r w:rsidRPr="008313ED">
              <w:rPr>
                <w:rFonts w:asciiTheme="minorHAnsi" w:hAnsiTheme="minorHAnsi"/>
                <w:noProof/>
                <w:webHidden/>
              </w:rPr>
              <w:fldChar w:fldCharType="end"/>
            </w:r>
          </w:hyperlink>
        </w:p>
        <w:p w14:paraId="7B5373D6" w14:textId="3C79E9E4"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51" w:history="1">
            <w:r w:rsidRPr="008313ED">
              <w:rPr>
                <w:rStyle w:val="Hyperlink"/>
                <w:rFonts w:asciiTheme="minorHAnsi" w:hAnsiTheme="minorHAnsi"/>
                <w:noProof/>
              </w:rPr>
              <w:t>How does AB2588 Hot Spots Statute define “facility” and how is it intended to be used for the AB2588 Hot Spots program?</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_Toc187305851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10</w:t>
            </w:r>
            <w:r w:rsidRPr="008313ED">
              <w:rPr>
                <w:rFonts w:asciiTheme="minorHAnsi" w:hAnsiTheme="minorHAnsi"/>
                <w:noProof/>
                <w:webHidden/>
              </w:rPr>
              <w:fldChar w:fldCharType="end"/>
            </w:r>
          </w:hyperlink>
        </w:p>
        <w:p w14:paraId="4B8FCC0E" w14:textId="672A8D97"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52" w:history="1">
            <w:r w:rsidRPr="008313ED">
              <w:rPr>
                <w:rStyle w:val="Hyperlink"/>
                <w:rFonts w:asciiTheme="minorHAnsi" w:hAnsiTheme="minorHAnsi"/>
                <w:noProof/>
              </w:rPr>
              <w:t>How does the AB2588 Hot Spots Statute define “Operator” and how does this affect who is responsible under the of the Hot Spots Regulation?</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_Toc187305852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12</w:t>
            </w:r>
            <w:r w:rsidRPr="008313ED">
              <w:rPr>
                <w:rFonts w:asciiTheme="minorHAnsi" w:hAnsiTheme="minorHAnsi"/>
                <w:noProof/>
                <w:webHidden/>
              </w:rPr>
              <w:fldChar w:fldCharType="end"/>
            </w:r>
          </w:hyperlink>
        </w:p>
        <w:p w14:paraId="669423E7" w14:textId="2C52A4DC"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53" w:history="1">
            <w:r w:rsidRPr="008313ED">
              <w:rPr>
                <w:rStyle w:val="Hyperlink"/>
                <w:rFonts w:asciiTheme="minorHAnsi" w:hAnsiTheme="minorHAnsi"/>
                <w:noProof/>
              </w:rPr>
              <w:t>Are</w:t>
            </w:r>
            <w:r w:rsidRPr="008313ED">
              <w:rPr>
                <w:rStyle w:val="Hyperlink"/>
                <w:rFonts w:asciiTheme="minorHAnsi" w:hAnsiTheme="minorHAnsi"/>
                <w:noProof/>
                <w:spacing w:val="-5"/>
              </w:rPr>
              <w:t xml:space="preserve"> </w:t>
            </w:r>
            <w:r w:rsidRPr="008313ED">
              <w:rPr>
                <w:rStyle w:val="Hyperlink"/>
                <w:rFonts w:asciiTheme="minorHAnsi" w:hAnsiTheme="minorHAnsi"/>
                <w:noProof/>
              </w:rPr>
              <w:t>cumulative</w:t>
            </w:r>
            <w:r w:rsidRPr="008313ED">
              <w:rPr>
                <w:rStyle w:val="Hyperlink"/>
                <w:rFonts w:asciiTheme="minorHAnsi" w:hAnsiTheme="minorHAnsi"/>
                <w:noProof/>
                <w:spacing w:val="-4"/>
              </w:rPr>
              <w:t xml:space="preserve"> </w:t>
            </w:r>
            <w:r w:rsidRPr="008313ED">
              <w:rPr>
                <w:rStyle w:val="Hyperlink"/>
                <w:rFonts w:asciiTheme="minorHAnsi" w:hAnsiTheme="minorHAnsi"/>
                <w:noProof/>
              </w:rPr>
              <w:t>emissions</w:t>
            </w:r>
            <w:r w:rsidRPr="008313ED">
              <w:rPr>
                <w:rStyle w:val="Hyperlink"/>
                <w:rFonts w:asciiTheme="minorHAnsi" w:hAnsiTheme="minorHAnsi"/>
                <w:noProof/>
                <w:spacing w:val="-4"/>
              </w:rPr>
              <w:t xml:space="preserve"> </w:t>
            </w:r>
            <w:r w:rsidRPr="008313ED">
              <w:rPr>
                <w:rStyle w:val="Hyperlink"/>
                <w:rFonts w:asciiTheme="minorHAnsi" w:hAnsiTheme="minorHAnsi"/>
                <w:noProof/>
              </w:rPr>
              <w:t>from</w:t>
            </w:r>
            <w:r w:rsidRPr="008313ED">
              <w:rPr>
                <w:rStyle w:val="Hyperlink"/>
                <w:rFonts w:asciiTheme="minorHAnsi" w:hAnsiTheme="minorHAnsi"/>
                <w:noProof/>
                <w:spacing w:val="-4"/>
              </w:rPr>
              <w:t xml:space="preserve"> </w:t>
            </w:r>
            <w:r w:rsidRPr="008313ED">
              <w:rPr>
                <w:rStyle w:val="Hyperlink"/>
                <w:rFonts w:asciiTheme="minorHAnsi" w:hAnsiTheme="minorHAnsi"/>
                <w:noProof/>
              </w:rPr>
              <w:t>multiple</w:t>
            </w:r>
            <w:r w:rsidRPr="008313ED">
              <w:rPr>
                <w:rStyle w:val="Hyperlink"/>
                <w:rFonts w:asciiTheme="minorHAnsi" w:hAnsiTheme="minorHAnsi"/>
                <w:noProof/>
                <w:spacing w:val="-5"/>
              </w:rPr>
              <w:t xml:space="preserve"> </w:t>
            </w:r>
            <w:r w:rsidRPr="008313ED">
              <w:rPr>
                <w:rStyle w:val="Hyperlink"/>
                <w:rFonts w:asciiTheme="minorHAnsi" w:hAnsiTheme="minorHAnsi"/>
                <w:noProof/>
              </w:rPr>
              <w:t>facilities</w:t>
            </w:r>
            <w:r w:rsidRPr="008313ED">
              <w:rPr>
                <w:rStyle w:val="Hyperlink"/>
                <w:rFonts w:asciiTheme="minorHAnsi" w:hAnsiTheme="minorHAnsi"/>
                <w:noProof/>
                <w:spacing w:val="-5"/>
              </w:rPr>
              <w:t xml:space="preserve"> </w:t>
            </w:r>
            <w:r w:rsidRPr="008313ED">
              <w:rPr>
                <w:rStyle w:val="Hyperlink"/>
                <w:rFonts w:asciiTheme="minorHAnsi" w:hAnsiTheme="minorHAnsi"/>
                <w:noProof/>
              </w:rPr>
              <w:t>addressed</w:t>
            </w:r>
            <w:r w:rsidRPr="008313ED">
              <w:rPr>
                <w:rStyle w:val="Hyperlink"/>
                <w:rFonts w:asciiTheme="minorHAnsi" w:hAnsiTheme="minorHAnsi"/>
                <w:noProof/>
                <w:spacing w:val="-5"/>
              </w:rPr>
              <w:t xml:space="preserve"> </w:t>
            </w:r>
            <w:r w:rsidRPr="008313ED">
              <w:rPr>
                <w:rStyle w:val="Hyperlink"/>
                <w:rFonts w:asciiTheme="minorHAnsi" w:hAnsiTheme="minorHAnsi"/>
                <w:noProof/>
              </w:rPr>
              <w:t>under</w:t>
            </w:r>
            <w:r w:rsidRPr="008313ED">
              <w:rPr>
                <w:rStyle w:val="Hyperlink"/>
                <w:rFonts w:asciiTheme="minorHAnsi" w:hAnsiTheme="minorHAnsi"/>
                <w:noProof/>
                <w:spacing w:val="-4"/>
              </w:rPr>
              <w:t xml:space="preserve"> </w:t>
            </w:r>
            <w:r w:rsidRPr="008313ED">
              <w:rPr>
                <w:rStyle w:val="Hyperlink"/>
                <w:rFonts w:asciiTheme="minorHAnsi" w:hAnsiTheme="minorHAnsi"/>
                <w:noProof/>
              </w:rPr>
              <w:t>Hot Spots?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_Toc187305853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12</w:t>
            </w:r>
            <w:r w:rsidRPr="008313ED">
              <w:rPr>
                <w:rFonts w:asciiTheme="minorHAnsi" w:hAnsiTheme="minorHAnsi"/>
                <w:noProof/>
                <w:webHidden/>
              </w:rPr>
              <w:fldChar w:fldCharType="end"/>
            </w:r>
          </w:hyperlink>
        </w:p>
        <w:p w14:paraId="5C32478F" w14:textId="44E8B118"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54" w:history="1">
            <w:r w:rsidRPr="008313ED">
              <w:rPr>
                <w:rStyle w:val="Hyperlink"/>
                <w:rFonts w:asciiTheme="minorHAnsi" w:hAnsiTheme="minorHAnsi"/>
                <w:noProof/>
              </w:rPr>
              <w:t>Can Districts establish more stringent requirements than those specified in the EICG Regulation?</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_Toc187305854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13</w:t>
            </w:r>
            <w:r w:rsidRPr="008313ED">
              <w:rPr>
                <w:rFonts w:asciiTheme="minorHAnsi" w:hAnsiTheme="minorHAnsi"/>
                <w:noProof/>
                <w:webHidden/>
              </w:rPr>
              <w:fldChar w:fldCharType="end"/>
            </w:r>
          </w:hyperlink>
        </w:p>
        <w:p w14:paraId="0FF00F58" w14:textId="1DC73F0E"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55" w:history="1">
            <w:r w:rsidRPr="008313ED">
              <w:rPr>
                <w:rStyle w:val="Hyperlink"/>
                <w:rFonts w:asciiTheme="minorHAnsi" w:hAnsiTheme="minorHAnsi"/>
                <w:noProof/>
              </w:rPr>
              <w:t>Is there a remote location exemption from reporting under the Hot Spots Program?</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_Toc187305855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14</w:t>
            </w:r>
            <w:r w:rsidRPr="008313ED">
              <w:rPr>
                <w:rFonts w:asciiTheme="minorHAnsi" w:hAnsiTheme="minorHAnsi"/>
                <w:noProof/>
                <w:webHidden/>
              </w:rPr>
              <w:fldChar w:fldCharType="end"/>
            </w:r>
          </w:hyperlink>
        </w:p>
        <w:p w14:paraId="07896702" w14:textId="72BEBF7E"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56" w:history="1">
            <w:r w:rsidRPr="008313ED">
              <w:rPr>
                <w:rStyle w:val="Hyperlink"/>
                <w:rFonts w:asciiTheme="minorHAnsi" w:hAnsiTheme="minorHAnsi"/>
                <w:noProof/>
              </w:rPr>
              <w:t>How can a facility submit to the district an “Update Emissions Summary Form” that can be used to modify prioritization, health risk assessment values and demonstrate reductions in risk?</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_Toc187305856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14</w:t>
            </w:r>
            <w:r w:rsidRPr="008313ED">
              <w:rPr>
                <w:rFonts w:asciiTheme="minorHAnsi" w:hAnsiTheme="minorHAnsi"/>
                <w:noProof/>
                <w:webHidden/>
              </w:rPr>
              <w:fldChar w:fldCharType="end"/>
            </w:r>
          </w:hyperlink>
        </w:p>
        <w:p w14:paraId="3D416881" w14:textId="53B9D65B"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57" w:history="1">
            <w:r w:rsidRPr="008313ED">
              <w:rPr>
                <w:rStyle w:val="Hyperlink"/>
                <w:rFonts w:asciiTheme="minorHAnsi" w:hAnsiTheme="minorHAnsi"/>
                <w:noProof/>
              </w:rPr>
              <w:t>How are on-site dust emissions and refueling from mobile sources treated for purposes of the Hot Spots Program?</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_Toc187305857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14</w:t>
            </w:r>
            <w:r w:rsidRPr="008313ED">
              <w:rPr>
                <w:rFonts w:asciiTheme="minorHAnsi" w:hAnsiTheme="minorHAnsi"/>
                <w:noProof/>
                <w:webHidden/>
              </w:rPr>
              <w:fldChar w:fldCharType="end"/>
            </w:r>
          </w:hyperlink>
        </w:p>
        <w:p w14:paraId="11530039" w14:textId="5DE8A06E"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58" w:history="1">
            <w:r w:rsidRPr="008313ED">
              <w:rPr>
                <w:rStyle w:val="Hyperlink"/>
                <w:rFonts w:asciiTheme="minorHAnsi" w:hAnsiTheme="minorHAnsi"/>
                <w:noProof/>
              </w:rPr>
              <w:t>What are portable diesel engine reporting requirements for engines greater than 50 horsepower at certain large facilities?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_Toc187305858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14</w:t>
            </w:r>
            <w:r w:rsidRPr="008313ED">
              <w:rPr>
                <w:rFonts w:asciiTheme="minorHAnsi" w:hAnsiTheme="minorHAnsi"/>
                <w:noProof/>
                <w:webHidden/>
              </w:rPr>
              <w:fldChar w:fldCharType="end"/>
            </w:r>
          </w:hyperlink>
        </w:p>
        <w:p w14:paraId="383C38A4" w14:textId="7C9AD385"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59" w:history="1">
            <w:r w:rsidRPr="008313ED">
              <w:rPr>
                <w:rStyle w:val="Hyperlink"/>
                <w:rFonts w:asciiTheme="minorHAnsi" w:hAnsiTheme="minorHAnsi"/>
                <w:noProof/>
              </w:rPr>
              <w:t>What if</w:t>
            </w:r>
            <w:r w:rsidRPr="008313ED">
              <w:rPr>
                <w:rStyle w:val="Hyperlink"/>
                <w:rFonts w:asciiTheme="minorHAnsi" w:hAnsiTheme="minorHAnsi"/>
                <w:noProof/>
                <w:spacing w:val="-1"/>
              </w:rPr>
              <w:t xml:space="preserve"> </w:t>
            </w:r>
            <w:r w:rsidRPr="008313ED">
              <w:rPr>
                <w:rStyle w:val="Hyperlink"/>
                <w:rFonts w:asciiTheme="minorHAnsi" w:hAnsiTheme="minorHAnsi"/>
                <w:noProof/>
              </w:rPr>
              <w:t>the facility’s</w:t>
            </w:r>
            <w:r w:rsidRPr="008313ED">
              <w:rPr>
                <w:rStyle w:val="Hyperlink"/>
                <w:rFonts w:asciiTheme="minorHAnsi" w:hAnsiTheme="minorHAnsi"/>
                <w:noProof/>
                <w:spacing w:val="-2"/>
              </w:rPr>
              <w:t xml:space="preserve"> </w:t>
            </w:r>
            <w:r w:rsidRPr="008313ED">
              <w:rPr>
                <w:rStyle w:val="Hyperlink"/>
                <w:rFonts w:asciiTheme="minorHAnsi" w:hAnsiTheme="minorHAnsi"/>
                <w:noProof/>
              </w:rPr>
              <w:t>equipment</w:t>
            </w:r>
            <w:r w:rsidRPr="008313ED">
              <w:rPr>
                <w:rStyle w:val="Hyperlink"/>
                <w:rFonts w:asciiTheme="minorHAnsi" w:hAnsiTheme="minorHAnsi"/>
                <w:noProof/>
                <w:spacing w:val="-1"/>
              </w:rPr>
              <w:t xml:space="preserve"> </w:t>
            </w:r>
            <w:r w:rsidRPr="008313ED">
              <w:rPr>
                <w:rStyle w:val="Hyperlink"/>
                <w:rFonts w:asciiTheme="minorHAnsi" w:hAnsiTheme="minorHAnsi"/>
                <w:noProof/>
              </w:rPr>
              <w:t>is</w:t>
            </w:r>
            <w:r w:rsidRPr="008313ED">
              <w:rPr>
                <w:rStyle w:val="Hyperlink"/>
                <w:rFonts w:asciiTheme="minorHAnsi" w:hAnsiTheme="minorHAnsi"/>
                <w:noProof/>
                <w:spacing w:val="-2"/>
              </w:rPr>
              <w:t xml:space="preserve"> </w:t>
            </w:r>
            <w:r w:rsidRPr="008313ED">
              <w:rPr>
                <w:rStyle w:val="Hyperlink"/>
                <w:rFonts w:asciiTheme="minorHAnsi" w:hAnsiTheme="minorHAnsi"/>
                <w:noProof/>
              </w:rPr>
              <w:t>not permitted?</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_Toc187305859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15</w:t>
            </w:r>
            <w:r w:rsidRPr="008313ED">
              <w:rPr>
                <w:rFonts w:asciiTheme="minorHAnsi" w:hAnsiTheme="minorHAnsi"/>
                <w:noProof/>
                <w:webHidden/>
              </w:rPr>
              <w:fldChar w:fldCharType="end"/>
            </w:r>
          </w:hyperlink>
        </w:p>
        <w:p w14:paraId="7955AC50" w14:textId="2CF06CAE" w:rsidR="00F10EAB" w:rsidRPr="008313ED" w:rsidRDefault="00F10EAB">
          <w:pPr>
            <w:pStyle w:val="TOC1"/>
            <w:tabs>
              <w:tab w:val="right" w:leader="dot" w:pos="10070"/>
            </w:tabs>
            <w:rPr>
              <w:rFonts w:asciiTheme="minorHAnsi" w:eastAsiaTheme="minorEastAsia" w:hAnsiTheme="minorHAnsi" w:cstheme="minorBidi"/>
              <w:noProof/>
              <w:kern w:val="2"/>
              <w14:ligatures w14:val="standardContextual"/>
            </w:rPr>
          </w:pPr>
          <w:hyperlink w:anchor="_Toc187305860" w:history="1">
            <w:r w:rsidRPr="008313ED">
              <w:rPr>
                <w:rStyle w:val="Hyperlink"/>
                <w:rFonts w:asciiTheme="minorHAnsi" w:hAnsiTheme="minorHAnsi"/>
                <w:noProof/>
              </w:rPr>
              <w:t>Source Testing and The Two-Step Process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_Toc187305860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15</w:t>
            </w:r>
            <w:r w:rsidRPr="008313ED">
              <w:rPr>
                <w:rFonts w:asciiTheme="minorHAnsi" w:hAnsiTheme="minorHAnsi"/>
                <w:noProof/>
                <w:webHidden/>
              </w:rPr>
              <w:fldChar w:fldCharType="end"/>
            </w:r>
          </w:hyperlink>
        </w:p>
        <w:p w14:paraId="66C076DD" w14:textId="78520AFB"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61" w:history="1">
            <w:r w:rsidRPr="008313ED">
              <w:rPr>
                <w:rStyle w:val="Hyperlink"/>
                <w:rFonts w:asciiTheme="minorHAnsi" w:hAnsiTheme="minorHAnsi"/>
                <w:noProof/>
              </w:rPr>
              <w:t>What facilities are subject to the two-step process?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_Toc187305861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15</w:t>
            </w:r>
            <w:r w:rsidRPr="008313ED">
              <w:rPr>
                <w:rFonts w:asciiTheme="minorHAnsi" w:hAnsiTheme="minorHAnsi"/>
                <w:noProof/>
                <w:webHidden/>
              </w:rPr>
              <w:fldChar w:fldCharType="end"/>
            </w:r>
          </w:hyperlink>
        </w:p>
        <w:p w14:paraId="009CFB98" w14:textId="13FF24E9"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62" w:history="1">
            <w:r w:rsidRPr="008313ED">
              <w:rPr>
                <w:rStyle w:val="Hyperlink"/>
                <w:rFonts w:asciiTheme="minorHAnsi" w:hAnsiTheme="minorHAnsi"/>
                <w:noProof/>
              </w:rPr>
              <w:t>What is the two-step process?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_Toc187305862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15</w:t>
            </w:r>
            <w:r w:rsidRPr="008313ED">
              <w:rPr>
                <w:rFonts w:asciiTheme="minorHAnsi" w:hAnsiTheme="minorHAnsi"/>
                <w:noProof/>
                <w:webHidden/>
              </w:rPr>
              <w:fldChar w:fldCharType="end"/>
            </w:r>
          </w:hyperlink>
        </w:p>
        <w:p w14:paraId="216C9AA3" w14:textId="1A414FA6"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63" w:history="1">
            <w:r w:rsidRPr="008313ED">
              <w:rPr>
                <w:rStyle w:val="Hyperlink"/>
                <w:rFonts w:asciiTheme="minorHAnsi" w:hAnsiTheme="minorHAnsi"/>
                <w:noProof/>
              </w:rPr>
              <w:t>Do facility operators subject to the two-step process have to fully quantify Appendix A substances that do not have OEHHA-approved health values?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_Toc187305863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16</w:t>
            </w:r>
            <w:r w:rsidRPr="008313ED">
              <w:rPr>
                <w:rFonts w:asciiTheme="minorHAnsi" w:hAnsiTheme="minorHAnsi"/>
                <w:noProof/>
                <w:webHidden/>
              </w:rPr>
              <w:fldChar w:fldCharType="end"/>
            </w:r>
          </w:hyperlink>
        </w:p>
        <w:p w14:paraId="5E751D54" w14:textId="69F2A756"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64" w:history="1">
            <w:r w:rsidRPr="008313ED">
              <w:rPr>
                <w:rStyle w:val="Hyperlink"/>
                <w:rFonts w:asciiTheme="minorHAnsi" w:hAnsiTheme="minorHAnsi"/>
                <w:noProof/>
              </w:rPr>
              <w:t>Do facility operators subject to the two-step process have to fully quantify Appendix A substances that do not have CARB-approved source testing methods?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_Toc187305864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16</w:t>
            </w:r>
            <w:r w:rsidRPr="008313ED">
              <w:rPr>
                <w:rFonts w:asciiTheme="minorHAnsi" w:hAnsiTheme="minorHAnsi"/>
                <w:noProof/>
                <w:webHidden/>
              </w:rPr>
              <w:fldChar w:fldCharType="end"/>
            </w:r>
          </w:hyperlink>
        </w:p>
        <w:p w14:paraId="4DF31B1C" w14:textId="42039686"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65" w:history="1">
            <w:r w:rsidRPr="008313ED">
              <w:rPr>
                <w:rStyle w:val="Hyperlink"/>
                <w:rFonts w:asciiTheme="minorHAnsi" w:hAnsiTheme="minorHAnsi"/>
                <w:noProof/>
              </w:rPr>
              <w:t>What analytical techniques are approved for source testing?</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_Toc187305865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17</w:t>
            </w:r>
            <w:r w:rsidRPr="008313ED">
              <w:rPr>
                <w:rFonts w:asciiTheme="minorHAnsi" w:hAnsiTheme="minorHAnsi"/>
                <w:noProof/>
                <w:webHidden/>
              </w:rPr>
              <w:fldChar w:fldCharType="end"/>
            </w:r>
          </w:hyperlink>
        </w:p>
        <w:p w14:paraId="0263DF70" w14:textId="1303FDF5"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66" w:history="1">
            <w:r w:rsidRPr="008313ED">
              <w:rPr>
                <w:rStyle w:val="Hyperlink"/>
                <w:rFonts w:asciiTheme="minorHAnsi" w:hAnsiTheme="minorHAnsi"/>
                <w:noProof/>
              </w:rPr>
              <w:t>Can water testing be used to help wastewater treatment plants in their reporting of Appendix A substances?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_Toc187305866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17</w:t>
            </w:r>
            <w:r w:rsidRPr="008313ED">
              <w:rPr>
                <w:rFonts w:asciiTheme="minorHAnsi" w:hAnsiTheme="minorHAnsi"/>
                <w:noProof/>
                <w:webHidden/>
              </w:rPr>
              <w:fldChar w:fldCharType="end"/>
            </w:r>
          </w:hyperlink>
        </w:p>
        <w:p w14:paraId="4C7F6C22" w14:textId="0BABCCB0"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67" w:history="1">
            <w:r w:rsidRPr="008313ED">
              <w:rPr>
                <w:rStyle w:val="Hyperlink"/>
                <w:rFonts w:asciiTheme="minorHAnsi" w:hAnsiTheme="minorHAnsi"/>
                <w:noProof/>
              </w:rPr>
              <w:t>When are facilities that are subject to the two-step process required to complete it?</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_Toc187305867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18</w:t>
            </w:r>
            <w:r w:rsidRPr="008313ED">
              <w:rPr>
                <w:rFonts w:asciiTheme="minorHAnsi" w:hAnsiTheme="minorHAnsi"/>
                <w:noProof/>
                <w:webHidden/>
              </w:rPr>
              <w:fldChar w:fldCharType="end"/>
            </w:r>
          </w:hyperlink>
        </w:p>
        <w:p w14:paraId="4F6420C8" w14:textId="73A76638"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68" w:history="1">
            <w:r w:rsidRPr="008313ED">
              <w:rPr>
                <w:rStyle w:val="Hyperlink"/>
                <w:rFonts w:asciiTheme="minorHAnsi" w:hAnsiTheme="minorHAnsi"/>
                <w:noProof/>
              </w:rPr>
              <w:t>Does every facility need to perform the two-step process?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_Toc187305868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18</w:t>
            </w:r>
            <w:r w:rsidRPr="008313ED">
              <w:rPr>
                <w:rFonts w:asciiTheme="minorHAnsi" w:hAnsiTheme="minorHAnsi"/>
                <w:noProof/>
                <w:webHidden/>
              </w:rPr>
              <w:fldChar w:fldCharType="end"/>
            </w:r>
          </w:hyperlink>
        </w:p>
        <w:p w14:paraId="4F4A6DA0" w14:textId="02B79F34"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69" w:history="1">
            <w:r w:rsidRPr="008313ED">
              <w:rPr>
                <w:rStyle w:val="Hyperlink"/>
                <w:rFonts w:asciiTheme="minorHAnsi" w:hAnsiTheme="minorHAnsi"/>
                <w:noProof/>
              </w:rPr>
              <w:t>What are some benefits of pooled source testing for the two-step process?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_Toc187305869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18</w:t>
            </w:r>
            <w:r w:rsidRPr="008313ED">
              <w:rPr>
                <w:rFonts w:asciiTheme="minorHAnsi" w:hAnsiTheme="minorHAnsi"/>
                <w:noProof/>
                <w:webHidden/>
              </w:rPr>
              <w:fldChar w:fldCharType="end"/>
            </w:r>
          </w:hyperlink>
        </w:p>
        <w:p w14:paraId="755C6C36" w14:textId="6EA3CFD4"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70" w:history="1">
            <w:r w:rsidRPr="008313ED">
              <w:rPr>
                <w:rStyle w:val="Hyperlink"/>
                <w:rFonts w:asciiTheme="minorHAnsi" w:hAnsiTheme="minorHAnsi"/>
                <w:noProof/>
              </w:rPr>
              <w:t>How does EICG Section IX provide a hierarchy from source testing to emission estimation?</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_Toc187305870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18</w:t>
            </w:r>
            <w:r w:rsidRPr="008313ED">
              <w:rPr>
                <w:rFonts w:asciiTheme="minorHAnsi" w:hAnsiTheme="minorHAnsi"/>
                <w:noProof/>
                <w:webHidden/>
              </w:rPr>
              <w:fldChar w:fldCharType="end"/>
            </w:r>
          </w:hyperlink>
        </w:p>
        <w:p w14:paraId="75B052B1" w14:textId="5E254EB9" w:rsidR="00F10EAB" w:rsidRPr="008313ED" w:rsidRDefault="00F10EAB">
          <w:pPr>
            <w:pStyle w:val="TOC1"/>
            <w:tabs>
              <w:tab w:val="right" w:leader="dot" w:pos="10070"/>
            </w:tabs>
            <w:rPr>
              <w:rFonts w:asciiTheme="minorHAnsi" w:eastAsiaTheme="minorEastAsia" w:hAnsiTheme="minorHAnsi" w:cstheme="minorBidi"/>
              <w:noProof/>
              <w:kern w:val="2"/>
              <w14:ligatures w14:val="standardContextual"/>
            </w:rPr>
          </w:pPr>
          <w:hyperlink w:anchor="_Toc187305871" w:history="1">
            <w:r w:rsidRPr="008313ED">
              <w:rPr>
                <w:rStyle w:val="Hyperlink"/>
                <w:rFonts w:asciiTheme="minorHAnsi" w:hAnsiTheme="minorHAnsi"/>
                <w:noProof/>
              </w:rPr>
              <w:t>Required Reporting of Toxic Substances and Appendix A</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_Toc187305871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20</w:t>
            </w:r>
            <w:r w:rsidRPr="008313ED">
              <w:rPr>
                <w:rFonts w:asciiTheme="minorHAnsi" w:hAnsiTheme="minorHAnsi"/>
                <w:noProof/>
                <w:webHidden/>
              </w:rPr>
              <w:fldChar w:fldCharType="end"/>
            </w:r>
          </w:hyperlink>
        </w:p>
        <w:p w14:paraId="086152E8" w14:textId="7E063BB4"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72" w:history="1">
            <w:r w:rsidRPr="008313ED">
              <w:rPr>
                <w:rStyle w:val="Hyperlink"/>
                <w:rFonts w:asciiTheme="minorHAnsi" w:hAnsiTheme="minorHAnsi"/>
                <w:noProof/>
              </w:rPr>
              <w:t>Which</w:t>
            </w:r>
            <w:r w:rsidRPr="008313ED">
              <w:rPr>
                <w:rStyle w:val="Hyperlink"/>
                <w:rFonts w:asciiTheme="minorHAnsi" w:hAnsiTheme="minorHAnsi"/>
                <w:noProof/>
                <w:spacing w:val="-4"/>
              </w:rPr>
              <w:t xml:space="preserve"> </w:t>
            </w:r>
            <w:r w:rsidRPr="008313ED">
              <w:rPr>
                <w:rStyle w:val="Hyperlink"/>
                <w:rFonts w:asciiTheme="minorHAnsi" w:hAnsiTheme="minorHAnsi"/>
                <w:noProof/>
              </w:rPr>
              <w:t>pollutants</w:t>
            </w:r>
            <w:r w:rsidRPr="008313ED">
              <w:rPr>
                <w:rStyle w:val="Hyperlink"/>
                <w:rFonts w:asciiTheme="minorHAnsi" w:hAnsiTheme="minorHAnsi"/>
                <w:noProof/>
                <w:spacing w:val="-4"/>
              </w:rPr>
              <w:t xml:space="preserve"> </w:t>
            </w:r>
            <w:r w:rsidRPr="008313ED">
              <w:rPr>
                <w:rStyle w:val="Hyperlink"/>
                <w:rFonts w:asciiTheme="minorHAnsi" w:hAnsiTheme="minorHAnsi"/>
                <w:noProof/>
              </w:rPr>
              <w:t>must</w:t>
            </w:r>
            <w:r w:rsidRPr="008313ED">
              <w:rPr>
                <w:rStyle w:val="Hyperlink"/>
                <w:rFonts w:asciiTheme="minorHAnsi" w:hAnsiTheme="minorHAnsi"/>
                <w:noProof/>
                <w:spacing w:val="-4"/>
              </w:rPr>
              <w:t xml:space="preserve"> </w:t>
            </w:r>
            <w:r w:rsidRPr="008313ED">
              <w:rPr>
                <w:rStyle w:val="Hyperlink"/>
                <w:rFonts w:asciiTheme="minorHAnsi" w:hAnsiTheme="minorHAnsi"/>
                <w:noProof/>
              </w:rPr>
              <w:t>be</w:t>
            </w:r>
            <w:r w:rsidRPr="008313ED">
              <w:rPr>
                <w:rStyle w:val="Hyperlink"/>
                <w:rFonts w:asciiTheme="minorHAnsi" w:hAnsiTheme="minorHAnsi"/>
                <w:noProof/>
                <w:spacing w:val="-3"/>
              </w:rPr>
              <w:t xml:space="preserve"> </w:t>
            </w:r>
            <w:r w:rsidRPr="008313ED">
              <w:rPr>
                <w:rStyle w:val="Hyperlink"/>
                <w:rFonts w:asciiTheme="minorHAnsi" w:hAnsiTheme="minorHAnsi"/>
                <w:noProof/>
              </w:rPr>
              <w:t>reported under AB 2588 and by when?</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_Toc187305872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20</w:t>
            </w:r>
            <w:r w:rsidRPr="008313ED">
              <w:rPr>
                <w:rFonts w:asciiTheme="minorHAnsi" w:hAnsiTheme="minorHAnsi"/>
                <w:noProof/>
                <w:webHidden/>
              </w:rPr>
              <w:fldChar w:fldCharType="end"/>
            </w:r>
          </w:hyperlink>
        </w:p>
        <w:p w14:paraId="18B63279" w14:textId="4D72F8F0"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73" w:history="1">
            <w:r w:rsidRPr="008313ED">
              <w:rPr>
                <w:rStyle w:val="Hyperlink"/>
                <w:rFonts w:asciiTheme="minorHAnsi" w:hAnsiTheme="minorHAnsi"/>
                <w:noProof/>
              </w:rPr>
              <w:t>How many chemicals were added to Appendix A in the 2020 EICG amendments?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_Toc187305873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20</w:t>
            </w:r>
            <w:r w:rsidRPr="008313ED">
              <w:rPr>
                <w:rFonts w:asciiTheme="minorHAnsi" w:hAnsiTheme="minorHAnsi"/>
                <w:noProof/>
                <w:webHidden/>
              </w:rPr>
              <w:fldChar w:fldCharType="end"/>
            </w:r>
          </w:hyperlink>
        </w:p>
        <w:p w14:paraId="20BB1B88" w14:textId="4A9A1E0F"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74" w:history="1">
            <w:r w:rsidRPr="008313ED">
              <w:rPr>
                <w:rStyle w:val="Hyperlink"/>
                <w:rFonts w:asciiTheme="minorHAnsi" w:hAnsiTheme="minorHAnsi"/>
                <w:noProof/>
              </w:rPr>
              <w:t>Why is reporting of emissions required for all chemicals even if they don't currently have an OEHHA health value?</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_Toc187305874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21</w:t>
            </w:r>
            <w:r w:rsidRPr="008313ED">
              <w:rPr>
                <w:rFonts w:asciiTheme="minorHAnsi" w:hAnsiTheme="minorHAnsi"/>
                <w:noProof/>
                <w:webHidden/>
              </w:rPr>
              <w:fldChar w:fldCharType="end"/>
            </w:r>
          </w:hyperlink>
        </w:p>
        <w:p w14:paraId="451C0680" w14:textId="7B2D1B43"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75" w:history="1">
            <w:r w:rsidRPr="008313ED">
              <w:rPr>
                <w:rStyle w:val="Hyperlink"/>
                <w:rFonts w:asciiTheme="minorHAnsi" w:hAnsiTheme="minorHAnsi"/>
                <w:noProof/>
              </w:rPr>
              <w:t>What was considered in assigning the first phase chemicals (ChemSet-1)?</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_Toc187305875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21</w:t>
            </w:r>
            <w:r w:rsidRPr="008313ED">
              <w:rPr>
                <w:rFonts w:asciiTheme="minorHAnsi" w:hAnsiTheme="minorHAnsi"/>
                <w:noProof/>
                <w:webHidden/>
              </w:rPr>
              <w:fldChar w:fldCharType="end"/>
            </w:r>
          </w:hyperlink>
        </w:p>
        <w:p w14:paraId="5F322B06" w14:textId="6B31FF21"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76" w:history="1">
            <w:r w:rsidRPr="008313ED">
              <w:rPr>
                <w:rStyle w:val="Hyperlink"/>
                <w:rFonts w:asciiTheme="minorHAnsi" w:hAnsiTheme="minorHAnsi"/>
                <w:noProof/>
              </w:rPr>
              <w:t>How did CARB determine the groupings of some of the chemicals in EICG’s Appendix A (e.g., xylenes, metal compounds, glycol ethers, PAH compounds, functional groups, and others)?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_Toc187305876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22</w:t>
            </w:r>
            <w:r w:rsidRPr="008313ED">
              <w:rPr>
                <w:rFonts w:asciiTheme="minorHAnsi" w:hAnsiTheme="minorHAnsi"/>
                <w:noProof/>
                <w:webHidden/>
              </w:rPr>
              <w:fldChar w:fldCharType="end"/>
            </w:r>
          </w:hyperlink>
        </w:p>
        <w:p w14:paraId="22A96CCF" w14:textId="7AB79A7E"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77" w:history="1">
            <w:r w:rsidRPr="008313ED">
              <w:rPr>
                <w:rStyle w:val="Hyperlink"/>
                <w:rFonts w:asciiTheme="minorHAnsi" w:hAnsiTheme="minorHAnsi"/>
                <w:noProof/>
              </w:rPr>
              <w:t>What is the degree of accuracy and how is it used for reporting under Hot Spots?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_Toc187305877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24</w:t>
            </w:r>
            <w:r w:rsidRPr="008313ED">
              <w:rPr>
                <w:rFonts w:asciiTheme="minorHAnsi" w:hAnsiTheme="minorHAnsi"/>
                <w:noProof/>
                <w:webHidden/>
              </w:rPr>
              <w:fldChar w:fldCharType="end"/>
            </w:r>
          </w:hyperlink>
        </w:p>
        <w:p w14:paraId="58BFFCB1" w14:textId="01609B1F"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78" w:history="1">
            <w:r w:rsidRPr="008313ED">
              <w:rPr>
                <w:rStyle w:val="Hyperlink"/>
                <w:rFonts w:asciiTheme="minorHAnsi" w:hAnsiTheme="minorHAnsi"/>
                <w:noProof/>
              </w:rPr>
              <w:t>How is the Molecular Weight Adjustment Factor (MWAF) used for metals?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_Toc187305878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24</w:t>
            </w:r>
            <w:r w:rsidRPr="008313ED">
              <w:rPr>
                <w:rFonts w:asciiTheme="minorHAnsi" w:hAnsiTheme="minorHAnsi"/>
                <w:noProof/>
                <w:webHidden/>
              </w:rPr>
              <w:fldChar w:fldCharType="end"/>
            </w:r>
          </w:hyperlink>
        </w:p>
        <w:p w14:paraId="584DF4AE" w14:textId="5AF331ED" w:rsidR="00F10EAB" w:rsidRPr="008313ED" w:rsidRDefault="00F10EAB">
          <w:pPr>
            <w:pStyle w:val="TOC2"/>
            <w:tabs>
              <w:tab w:val="right" w:leader="dot" w:pos="10070"/>
            </w:tabs>
            <w:rPr>
              <w:rFonts w:asciiTheme="minorHAnsi" w:eastAsiaTheme="minorEastAsia" w:hAnsiTheme="minorHAnsi" w:cstheme="minorBidi"/>
              <w:noProof/>
              <w:kern w:val="2"/>
              <w14:ligatures w14:val="standardContextual"/>
            </w:rPr>
          </w:pPr>
          <w:hyperlink w:anchor="_Toc187305879" w:history="1">
            <w:r w:rsidRPr="008313ED">
              <w:rPr>
                <w:rStyle w:val="Hyperlink"/>
                <w:rFonts w:asciiTheme="minorHAnsi" w:hAnsiTheme="minorHAnsi"/>
                <w:noProof/>
              </w:rPr>
              <w:t>Functional Groups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_Toc187305879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26</w:t>
            </w:r>
            <w:r w:rsidRPr="008313ED">
              <w:rPr>
                <w:rFonts w:asciiTheme="minorHAnsi" w:hAnsiTheme="minorHAnsi"/>
                <w:noProof/>
                <w:webHidden/>
              </w:rPr>
              <w:fldChar w:fldCharType="end"/>
            </w:r>
          </w:hyperlink>
        </w:p>
        <w:p w14:paraId="41B0A402" w14:textId="2A63ED6F"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80" w:history="1">
            <w:r w:rsidRPr="008313ED">
              <w:rPr>
                <w:rStyle w:val="Hyperlink"/>
                <w:rFonts w:asciiTheme="minorHAnsi" w:hAnsiTheme="minorHAnsi"/>
                <w:noProof/>
              </w:rPr>
              <w:t>What is a functional group?</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_Toc187305880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26</w:t>
            </w:r>
            <w:r w:rsidRPr="008313ED">
              <w:rPr>
                <w:rFonts w:asciiTheme="minorHAnsi" w:hAnsiTheme="minorHAnsi"/>
                <w:noProof/>
                <w:webHidden/>
              </w:rPr>
              <w:fldChar w:fldCharType="end"/>
            </w:r>
          </w:hyperlink>
        </w:p>
        <w:p w14:paraId="3090B0AD" w14:textId="63AB9A55"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81" w:history="1">
            <w:r w:rsidRPr="008313ED">
              <w:rPr>
                <w:rStyle w:val="Hyperlink"/>
                <w:rFonts w:asciiTheme="minorHAnsi" w:hAnsiTheme="minorHAnsi"/>
                <w:noProof/>
              </w:rPr>
              <w:t>How do functional groups get reported in CEIDARS?</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_Toc187305881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27</w:t>
            </w:r>
            <w:r w:rsidRPr="008313ED">
              <w:rPr>
                <w:rFonts w:asciiTheme="minorHAnsi" w:hAnsiTheme="minorHAnsi"/>
                <w:noProof/>
                <w:webHidden/>
              </w:rPr>
              <w:fldChar w:fldCharType="end"/>
            </w:r>
          </w:hyperlink>
        </w:p>
        <w:p w14:paraId="39D6AF6B" w14:textId="7C882BCE" w:rsidR="00F10EAB" w:rsidRPr="008313ED" w:rsidRDefault="00F10EAB">
          <w:pPr>
            <w:pStyle w:val="TOC1"/>
            <w:tabs>
              <w:tab w:val="right" w:leader="dot" w:pos="10070"/>
            </w:tabs>
            <w:rPr>
              <w:rFonts w:asciiTheme="minorHAnsi" w:eastAsiaTheme="minorEastAsia" w:hAnsiTheme="minorHAnsi" w:cstheme="minorBidi"/>
              <w:noProof/>
              <w:kern w:val="2"/>
              <w14:ligatures w14:val="standardContextual"/>
            </w:rPr>
          </w:pPr>
          <w:hyperlink w:anchor="_Toc187305882" w:history="1">
            <w:r w:rsidRPr="008313ED">
              <w:rPr>
                <w:rStyle w:val="Hyperlink"/>
                <w:rFonts w:asciiTheme="minorHAnsi" w:hAnsiTheme="minorHAnsi"/>
                <w:noProof/>
              </w:rPr>
              <w:t>New Chemicals, Health Values and Prioritization</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_Toc187305882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27</w:t>
            </w:r>
            <w:r w:rsidRPr="008313ED">
              <w:rPr>
                <w:rFonts w:asciiTheme="minorHAnsi" w:hAnsiTheme="minorHAnsi"/>
                <w:noProof/>
                <w:webHidden/>
              </w:rPr>
              <w:fldChar w:fldCharType="end"/>
            </w:r>
          </w:hyperlink>
        </w:p>
        <w:p w14:paraId="7C147C27" w14:textId="7C8377CF"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83" w:history="1">
            <w:r w:rsidRPr="008313ED">
              <w:rPr>
                <w:rStyle w:val="Hyperlink"/>
                <w:rFonts w:asciiTheme="minorHAnsi" w:hAnsiTheme="minorHAnsi"/>
                <w:noProof/>
              </w:rPr>
              <w:t>How can I notify CARB about a new chemical of concern?</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_Toc187305883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27</w:t>
            </w:r>
            <w:r w:rsidRPr="008313ED">
              <w:rPr>
                <w:rFonts w:asciiTheme="minorHAnsi" w:hAnsiTheme="minorHAnsi"/>
                <w:noProof/>
                <w:webHidden/>
              </w:rPr>
              <w:fldChar w:fldCharType="end"/>
            </w:r>
          </w:hyperlink>
        </w:p>
        <w:p w14:paraId="38EBCDAB" w14:textId="5F1373AD"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84" w:history="1">
            <w:r w:rsidRPr="008313ED">
              <w:rPr>
                <w:rStyle w:val="Hyperlink"/>
                <w:rFonts w:asciiTheme="minorHAnsi" w:hAnsiTheme="minorHAnsi"/>
                <w:noProof/>
              </w:rPr>
              <w:t>How does CARB prioritize new chemicals of concern?</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_Toc187305884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27</w:t>
            </w:r>
            <w:r w:rsidRPr="008313ED">
              <w:rPr>
                <w:rFonts w:asciiTheme="minorHAnsi" w:hAnsiTheme="minorHAnsi"/>
                <w:noProof/>
                <w:webHidden/>
              </w:rPr>
              <w:fldChar w:fldCharType="end"/>
            </w:r>
          </w:hyperlink>
        </w:p>
        <w:p w14:paraId="493DE95E" w14:textId="140EBE5A" w:rsidR="00F10EAB" w:rsidRPr="008313ED" w:rsidRDefault="00F10EAB">
          <w:pPr>
            <w:pStyle w:val="TOC3"/>
            <w:tabs>
              <w:tab w:val="right" w:leader="dot" w:pos="10070"/>
            </w:tabs>
            <w:rPr>
              <w:rFonts w:asciiTheme="minorHAnsi" w:eastAsiaTheme="minorEastAsia" w:hAnsiTheme="minorHAnsi" w:cstheme="minorBidi"/>
              <w:noProof/>
              <w:kern w:val="2"/>
              <w14:ligatures w14:val="standardContextual"/>
            </w:rPr>
          </w:pPr>
          <w:hyperlink w:anchor="_Toc187305885" w:history="1">
            <w:r w:rsidRPr="008313ED">
              <w:rPr>
                <w:rStyle w:val="Hyperlink"/>
                <w:rFonts w:asciiTheme="minorHAnsi" w:hAnsiTheme="minorHAnsi"/>
                <w:noProof/>
              </w:rPr>
              <w:t>What</w:t>
            </w:r>
            <w:r w:rsidRPr="008313ED">
              <w:rPr>
                <w:rStyle w:val="Hyperlink"/>
                <w:rFonts w:asciiTheme="minorHAnsi" w:hAnsiTheme="minorHAnsi"/>
                <w:noProof/>
                <w:spacing w:val="-2"/>
              </w:rPr>
              <w:t xml:space="preserve"> </w:t>
            </w:r>
            <w:r w:rsidRPr="008313ED">
              <w:rPr>
                <w:rStyle w:val="Hyperlink"/>
                <w:rFonts w:asciiTheme="minorHAnsi" w:hAnsiTheme="minorHAnsi"/>
                <w:noProof/>
              </w:rPr>
              <w:t>happens</w:t>
            </w:r>
            <w:r w:rsidRPr="008313ED">
              <w:rPr>
                <w:rStyle w:val="Hyperlink"/>
                <w:rFonts w:asciiTheme="minorHAnsi" w:hAnsiTheme="minorHAnsi"/>
                <w:noProof/>
                <w:spacing w:val="-5"/>
              </w:rPr>
              <w:t xml:space="preserve"> </w:t>
            </w:r>
            <w:r w:rsidRPr="008313ED">
              <w:rPr>
                <w:rStyle w:val="Hyperlink"/>
                <w:rFonts w:asciiTheme="minorHAnsi" w:hAnsiTheme="minorHAnsi"/>
                <w:noProof/>
              </w:rPr>
              <w:t>when</w:t>
            </w:r>
            <w:r w:rsidRPr="008313ED">
              <w:rPr>
                <w:rStyle w:val="Hyperlink"/>
                <w:rFonts w:asciiTheme="minorHAnsi" w:hAnsiTheme="minorHAnsi"/>
                <w:noProof/>
                <w:spacing w:val="-3"/>
              </w:rPr>
              <w:t xml:space="preserve"> </w:t>
            </w:r>
            <w:r w:rsidRPr="008313ED">
              <w:rPr>
                <w:rStyle w:val="Hyperlink"/>
                <w:rFonts w:asciiTheme="minorHAnsi" w:hAnsiTheme="minorHAnsi"/>
                <w:noProof/>
              </w:rPr>
              <w:t>pollutants</w:t>
            </w:r>
            <w:r w:rsidRPr="008313ED">
              <w:rPr>
                <w:rStyle w:val="Hyperlink"/>
                <w:rFonts w:asciiTheme="minorHAnsi" w:hAnsiTheme="minorHAnsi"/>
                <w:noProof/>
                <w:spacing w:val="-2"/>
              </w:rPr>
              <w:t xml:space="preserve"> </w:t>
            </w:r>
            <w:r w:rsidRPr="008313ED">
              <w:rPr>
                <w:rStyle w:val="Hyperlink"/>
                <w:rFonts w:asciiTheme="minorHAnsi" w:hAnsiTheme="minorHAnsi"/>
                <w:noProof/>
              </w:rPr>
              <w:t>are</w:t>
            </w:r>
            <w:r w:rsidRPr="008313ED">
              <w:rPr>
                <w:rStyle w:val="Hyperlink"/>
                <w:rFonts w:asciiTheme="minorHAnsi" w:hAnsiTheme="minorHAnsi"/>
                <w:noProof/>
                <w:spacing w:val="-3"/>
              </w:rPr>
              <w:t xml:space="preserve"> </w:t>
            </w:r>
            <w:r w:rsidRPr="008313ED">
              <w:rPr>
                <w:rStyle w:val="Hyperlink"/>
                <w:rFonts w:asciiTheme="minorHAnsi" w:hAnsiTheme="minorHAnsi"/>
                <w:noProof/>
              </w:rPr>
              <w:t>assigned</w:t>
            </w:r>
            <w:r w:rsidRPr="008313ED">
              <w:rPr>
                <w:rStyle w:val="Hyperlink"/>
                <w:rFonts w:asciiTheme="minorHAnsi" w:hAnsiTheme="minorHAnsi"/>
                <w:noProof/>
                <w:spacing w:val="-2"/>
              </w:rPr>
              <w:t xml:space="preserve"> </w:t>
            </w:r>
            <w:r w:rsidRPr="008313ED">
              <w:rPr>
                <w:rStyle w:val="Hyperlink"/>
                <w:rFonts w:asciiTheme="minorHAnsi" w:hAnsiTheme="minorHAnsi"/>
                <w:noProof/>
              </w:rPr>
              <w:t>a</w:t>
            </w:r>
            <w:r w:rsidRPr="008313ED">
              <w:rPr>
                <w:rStyle w:val="Hyperlink"/>
                <w:rFonts w:asciiTheme="minorHAnsi" w:hAnsiTheme="minorHAnsi"/>
                <w:noProof/>
                <w:spacing w:val="-3"/>
              </w:rPr>
              <w:t xml:space="preserve"> </w:t>
            </w:r>
            <w:r w:rsidRPr="008313ED">
              <w:rPr>
                <w:rStyle w:val="Hyperlink"/>
                <w:rFonts w:asciiTheme="minorHAnsi" w:hAnsiTheme="minorHAnsi"/>
                <w:noProof/>
              </w:rPr>
              <w:t>new health</w:t>
            </w:r>
            <w:r w:rsidRPr="008313ED">
              <w:rPr>
                <w:rStyle w:val="Hyperlink"/>
                <w:rFonts w:asciiTheme="minorHAnsi" w:hAnsiTheme="minorHAnsi"/>
                <w:noProof/>
                <w:spacing w:val="-2"/>
              </w:rPr>
              <w:t xml:space="preserve"> </w:t>
            </w:r>
            <w:r w:rsidRPr="008313ED">
              <w:rPr>
                <w:rStyle w:val="Hyperlink"/>
                <w:rFonts w:asciiTheme="minorHAnsi" w:hAnsiTheme="minorHAnsi"/>
                <w:noProof/>
              </w:rPr>
              <w:t>value?</w:t>
            </w:r>
            <w:r w:rsidRPr="008313ED">
              <w:rPr>
                <w:rFonts w:asciiTheme="minorHAnsi" w:hAnsiTheme="minorHAnsi"/>
                <w:noProof/>
                <w:webHidden/>
              </w:rPr>
              <w:tab/>
            </w:r>
            <w:r w:rsidRPr="008313ED">
              <w:rPr>
                <w:rFonts w:asciiTheme="minorHAnsi" w:hAnsiTheme="minorHAnsi"/>
                <w:noProof/>
                <w:webHidden/>
              </w:rPr>
              <w:fldChar w:fldCharType="begin"/>
            </w:r>
            <w:r w:rsidRPr="008313ED">
              <w:rPr>
                <w:rFonts w:asciiTheme="minorHAnsi" w:hAnsiTheme="minorHAnsi"/>
                <w:noProof/>
                <w:webHidden/>
              </w:rPr>
              <w:instrText xml:space="preserve"> PAGEREF _Toc187305885 \h </w:instrText>
            </w:r>
            <w:r w:rsidRPr="008313ED">
              <w:rPr>
                <w:rFonts w:asciiTheme="minorHAnsi" w:hAnsiTheme="minorHAnsi"/>
                <w:noProof/>
                <w:webHidden/>
              </w:rPr>
            </w:r>
            <w:r w:rsidRPr="008313ED">
              <w:rPr>
                <w:rFonts w:asciiTheme="minorHAnsi" w:hAnsiTheme="minorHAnsi"/>
                <w:noProof/>
                <w:webHidden/>
              </w:rPr>
              <w:fldChar w:fldCharType="separate"/>
            </w:r>
            <w:r w:rsidRPr="008313ED">
              <w:rPr>
                <w:rFonts w:asciiTheme="minorHAnsi" w:hAnsiTheme="minorHAnsi"/>
                <w:noProof/>
                <w:webHidden/>
              </w:rPr>
              <w:t>28</w:t>
            </w:r>
            <w:r w:rsidRPr="008313ED">
              <w:rPr>
                <w:rFonts w:asciiTheme="minorHAnsi" w:hAnsiTheme="minorHAnsi"/>
                <w:noProof/>
                <w:webHidden/>
              </w:rPr>
              <w:fldChar w:fldCharType="end"/>
            </w:r>
          </w:hyperlink>
        </w:p>
        <w:p w14:paraId="5237F8EC" w14:textId="672EA997" w:rsidR="00F07A35" w:rsidRPr="008313ED" w:rsidRDefault="000923A9" w:rsidP="352303B0">
          <w:pPr>
            <w:pStyle w:val="TOC3"/>
            <w:tabs>
              <w:tab w:val="right" w:leader="dot" w:pos="10080"/>
            </w:tabs>
            <w:rPr>
              <w:rStyle w:val="Hyperlink"/>
              <w:rFonts w:asciiTheme="minorHAnsi" w:hAnsiTheme="minorHAnsi"/>
              <w:noProof/>
              <w:kern w:val="2"/>
              <w14:ligatures w14:val="standardContextual"/>
            </w:rPr>
          </w:pPr>
          <w:r w:rsidRPr="008313ED">
            <w:rPr>
              <w:rFonts w:asciiTheme="minorHAnsi" w:hAnsiTheme="minorHAnsi"/>
            </w:rPr>
            <w:fldChar w:fldCharType="end"/>
          </w:r>
        </w:p>
      </w:sdtContent>
    </w:sdt>
    <w:p w14:paraId="57CA2824" w14:textId="48555F62" w:rsidR="00240684" w:rsidRPr="008313ED" w:rsidRDefault="00240684" w:rsidP="00240684">
      <w:pPr>
        <w:rPr>
          <w:rFonts w:asciiTheme="minorHAnsi" w:hAnsiTheme="minorHAnsi"/>
        </w:rPr>
      </w:pPr>
    </w:p>
    <w:p w14:paraId="0172CB31" w14:textId="77777777" w:rsidR="00240684" w:rsidRPr="008313ED" w:rsidRDefault="00240684" w:rsidP="00240684">
      <w:pPr>
        <w:rPr>
          <w:rFonts w:asciiTheme="minorHAnsi" w:hAnsiTheme="minorHAnsi"/>
        </w:rPr>
      </w:pPr>
      <w:r w:rsidRPr="008313ED">
        <w:rPr>
          <w:rFonts w:asciiTheme="minorHAnsi" w:hAnsiTheme="minorHAnsi"/>
        </w:rPr>
        <w:br w:type="page"/>
      </w:r>
    </w:p>
    <w:p w14:paraId="2BE9CFAC" w14:textId="77777777" w:rsidR="00240684" w:rsidRPr="008313ED" w:rsidRDefault="6A79A0BF" w:rsidP="00240684">
      <w:pPr>
        <w:pStyle w:val="Heading1"/>
        <w:rPr>
          <w:rFonts w:asciiTheme="minorHAnsi" w:hAnsiTheme="minorHAnsi"/>
          <w:sz w:val="36"/>
          <w:szCs w:val="36"/>
        </w:rPr>
      </w:pPr>
      <w:bookmarkStart w:id="3" w:name="_Toc187305840"/>
      <w:r w:rsidRPr="008313ED">
        <w:rPr>
          <w:rFonts w:asciiTheme="minorHAnsi" w:hAnsiTheme="minorHAnsi"/>
          <w:sz w:val="36"/>
          <w:szCs w:val="36"/>
        </w:rPr>
        <w:t>General</w:t>
      </w:r>
      <w:bookmarkEnd w:id="3"/>
    </w:p>
    <w:p w14:paraId="43D0CE28" w14:textId="5899F26F" w:rsidR="00240684" w:rsidRPr="008313ED" w:rsidRDefault="6A79A0BF" w:rsidP="00240684">
      <w:pPr>
        <w:pStyle w:val="Heading3"/>
        <w:rPr>
          <w:rFonts w:asciiTheme="minorHAnsi" w:hAnsiTheme="minorHAnsi"/>
        </w:rPr>
      </w:pPr>
      <w:bookmarkStart w:id="4" w:name="_Toc187305841"/>
      <w:r w:rsidRPr="008313ED">
        <w:rPr>
          <w:rFonts w:asciiTheme="minorHAnsi" w:hAnsiTheme="minorHAnsi"/>
        </w:rPr>
        <w:t xml:space="preserve">Who is subject to the AB 2588 </w:t>
      </w:r>
      <w:r w:rsidR="00BB4EB6" w:rsidRPr="008313ED">
        <w:rPr>
          <w:rFonts w:asciiTheme="minorHAnsi" w:hAnsiTheme="minorHAnsi"/>
        </w:rPr>
        <w:t>Hot Spots</w:t>
      </w:r>
      <w:r w:rsidRPr="008313ED">
        <w:rPr>
          <w:rFonts w:asciiTheme="minorHAnsi" w:hAnsiTheme="minorHAnsi"/>
        </w:rPr>
        <w:t xml:space="preserve"> Program?</w:t>
      </w:r>
      <w:bookmarkEnd w:id="4"/>
    </w:p>
    <w:p w14:paraId="537A71C5" w14:textId="007EE5AD" w:rsidR="00240684" w:rsidRPr="008313ED" w:rsidRDefault="00240684" w:rsidP="00240684">
      <w:pPr>
        <w:pStyle w:val="NoSpacing"/>
        <w:rPr>
          <w:rFonts w:asciiTheme="minorHAnsi" w:hAnsiTheme="minorHAnsi"/>
        </w:rPr>
      </w:pPr>
      <w:r w:rsidRPr="008313ED">
        <w:rPr>
          <w:rFonts w:asciiTheme="minorHAnsi" w:hAnsiTheme="minorHAnsi"/>
        </w:rPr>
        <w:t>Any business</w:t>
      </w:r>
      <w:r w:rsidR="008D0036" w:rsidRPr="008313ED">
        <w:rPr>
          <w:rFonts w:asciiTheme="minorHAnsi" w:hAnsiTheme="minorHAnsi"/>
        </w:rPr>
        <w:t xml:space="preserve"> or</w:t>
      </w:r>
      <w:r w:rsidR="0049083E" w:rsidRPr="008313ED">
        <w:rPr>
          <w:rFonts w:asciiTheme="minorHAnsi" w:hAnsiTheme="minorHAnsi"/>
        </w:rPr>
        <w:t xml:space="preserve"> </w:t>
      </w:r>
      <w:r w:rsidRPr="008313ED">
        <w:rPr>
          <w:rFonts w:asciiTheme="minorHAnsi" w:hAnsiTheme="minorHAnsi"/>
        </w:rPr>
        <w:t xml:space="preserve">facility in California that emits </w:t>
      </w:r>
      <w:r w:rsidR="00050DC4" w:rsidRPr="008313ED">
        <w:rPr>
          <w:rFonts w:asciiTheme="minorHAnsi" w:hAnsiTheme="minorHAnsi"/>
        </w:rPr>
        <w:t>greater than</w:t>
      </w:r>
      <w:r w:rsidR="00DD7BA6" w:rsidRPr="008313ED">
        <w:rPr>
          <w:rFonts w:asciiTheme="minorHAnsi" w:hAnsiTheme="minorHAnsi"/>
        </w:rPr>
        <w:t xml:space="preserve"> </w:t>
      </w:r>
      <w:r w:rsidRPr="008313ED">
        <w:rPr>
          <w:rFonts w:asciiTheme="minorHAnsi" w:hAnsiTheme="minorHAnsi"/>
        </w:rPr>
        <w:t>10 tons</w:t>
      </w:r>
      <w:r w:rsidR="008D0036" w:rsidRPr="008313ED">
        <w:rPr>
          <w:rFonts w:asciiTheme="minorHAnsi" w:hAnsiTheme="minorHAnsi"/>
        </w:rPr>
        <w:t xml:space="preserve"> per</w:t>
      </w:r>
      <w:r w:rsidR="0049083E" w:rsidRPr="008313ED">
        <w:rPr>
          <w:rFonts w:asciiTheme="minorHAnsi" w:hAnsiTheme="minorHAnsi"/>
        </w:rPr>
        <w:t xml:space="preserve"> </w:t>
      </w:r>
      <w:r w:rsidRPr="008313ED">
        <w:rPr>
          <w:rFonts w:asciiTheme="minorHAnsi" w:hAnsiTheme="minorHAnsi"/>
        </w:rPr>
        <w:t xml:space="preserve">year of organic </w:t>
      </w:r>
      <w:proofErr w:type="gramStart"/>
      <w:r w:rsidRPr="008313ED">
        <w:rPr>
          <w:rFonts w:asciiTheme="minorHAnsi" w:hAnsiTheme="minorHAnsi"/>
        </w:rPr>
        <w:t>gasses</w:t>
      </w:r>
      <w:proofErr w:type="gramEnd"/>
      <w:r w:rsidRPr="008313ED">
        <w:rPr>
          <w:rFonts w:asciiTheme="minorHAnsi" w:hAnsiTheme="minorHAnsi"/>
        </w:rPr>
        <w:t xml:space="preserve">, PM, NOx, or </w:t>
      </w:r>
      <w:proofErr w:type="spellStart"/>
      <w:r w:rsidRPr="008313ED">
        <w:rPr>
          <w:rFonts w:asciiTheme="minorHAnsi" w:hAnsiTheme="minorHAnsi"/>
        </w:rPr>
        <w:t>SOx</w:t>
      </w:r>
      <w:proofErr w:type="spellEnd"/>
      <w:r w:rsidRPr="008313ED">
        <w:rPr>
          <w:rFonts w:asciiTheme="minorHAnsi" w:hAnsiTheme="minorHAnsi"/>
        </w:rPr>
        <w:t xml:space="preserve">, or smaller facilities included in Appendix E of the </w:t>
      </w:r>
      <w:r w:rsidR="00507A3E" w:rsidRPr="008313ED">
        <w:rPr>
          <w:rFonts w:asciiTheme="minorHAnsi" w:hAnsiTheme="minorHAnsi"/>
        </w:rPr>
        <w:t xml:space="preserve">EICG </w:t>
      </w:r>
      <w:r w:rsidRPr="008313ED">
        <w:rPr>
          <w:rFonts w:asciiTheme="minorHAnsi" w:hAnsiTheme="minorHAnsi"/>
        </w:rPr>
        <w:t xml:space="preserve">Regulation </w:t>
      </w:r>
      <w:r w:rsidR="008D0036" w:rsidRPr="008313ED">
        <w:rPr>
          <w:rFonts w:asciiTheme="minorHAnsi" w:hAnsiTheme="minorHAnsi"/>
        </w:rPr>
        <w:t>such as</w:t>
      </w:r>
      <w:r w:rsidRPr="008313ED">
        <w:rPr>
          <w:rFonts w:asciiTheme="minorHAnsi" w:hAnsiTheme="minorHAnsi"/>
        </w:rPr>
        <w:t xml:space="preserve"> gas stations, dry cleaners, and chrome platers, are subject to </w:t>
      </w:r>
      <w:r w:rsidR="00BB4EB6" w:rsidRPr="008313ED">
        <w:rPr>
          <w:rFonts w:asciiTheme="minorHAnsi" w:hAnsiTheme="minorHAnsi"/>
        </w:rPr>
        <w:t>Hot Spots</w:t>
      </w:r>
      <w:r w:rsidRPr="008313ED">
        <w:rPr>
          <w:rFonts w:asciiTheme="minorHAnsi" w:hAnsiTheme="minorHAnsi"/>
        </w:rPr>
        <w:t xml:space="preserve">. </w:t>
      </w:r>
    </w:p>
    <w:p w14:paraId="20CA02A6" w14:textId="77777777" w:rsidR="000E0731" w:rsidRPr="008313ED" w:rsidRDefault="000E0731" w:rsidP="00240684">
      <w:pPr>
        <w:pStyle w:val="NoSpacing"/>
        <w:rPr>
          <w:rFonts w:asciiTheme="minorHAnsi" w:hAnsiTheme="minorHAnsi"/>
        </w:rPr>
      </w:pPr>
    </w:p>
    <w:p w14:paraId="1B6B8463" w14:textId="58243302" w:rsidR="00240684" w:rsidRPr="008313ED" w:rsidRDefault="6A79A0BF" w:rsidP="00240684">
      <w:pPr>
        <w:pStyle w:val="Heading3"/>
        <w:rPr>
          <w:rFonts w:asciiTheme="minorHAnsi" w:hAnsiTheme="minorHAnsi"/>
        </w:rPr>
      </w:pPr>
      <w:bookmarkStart w:id="5" w:name="_Toc187305842"/>
      <w:r w:rsidRPr="008313ED">
        <w:rPr>
          <w:rFonts w:asciiTheme="minorHAnsi" w:hAnsiTheme="minorHAnsi"/>
        </w:rPr>
        <w:t>Who</w:t>
      </w:r>
      <w:r w:rsidRPr="008313ED">
        <w:rPr>
          <w:rFonts w:asciiTheme="minorHAnsi" w:hAnsiTheme="minorHAnsi"/>
          <w:spacing w:val="-3"/>
        </w:rPr>
        <w:t xml:space="preserve"> </w:t>
      </w:r>
      <w:r w:rsidRPr="008313ED">
        <w:rPr>
          <w:rFonts w:asciiTheme="minorHAnsi" w:hAnsiTheme="minorHAnsi"/>
        </w:rPr>
        <w:t>enforces</w:t>
      </w:r>
      <w:r w:rsidRPr="008313ED">
        <w:rPr>
          <w:rFonts w:asciiTheme="minorHAnsi" w:hAnsiTheme="minorHAnsi"/>
          <w:spacing w:val="-4"/>
        </w:rPr>
        <w:t xml:space="preserve"> </w:t>
      </w:r>
      <w:r w:rsidRPr="008313ED">
        <w:rPr>
          <w:rFonts w:asciiTheme="minorHAnsi" w:hAnsiTheme="minorHAnsi"/>
        </w:rPr>
        <w:t>the</w:t>
      </w:r>
      <w:r w:rsidRPr="008313ED">
        <w:rPr>
          <w:rFonts w:asciiTheme="minorHAnsi" w:hAnsiTheme="minorHAnsi"/>
          <w:spacing w:val="-3"/>
        </w:rPr>
        <w:t xml:space="preserve"> </w:t>
      </w:r>
      <w:r w:rsidR="00BB4EB6" w:rsidRPr="008313ED">
        <w:rPr>
          <w:rFonts w:asciiTheme="minorHAnsi" w:hAnsiTheme="minorHAnsi"/>
        </w:rPr>
        <w:t>Hot Spots</w:t>
      </w:r>
      <w:r w:rsidRPr="008313ED">
        <w:rPr>
          <w:rFonts w:asciiTheme="minorHAnsi" w:hAnsiTheme="minorHAnsi"/>
          <w:spacing w:val="-2"/>
        </w:rPr>
        <w:t xml:space="preserve"> </w:t>
      </w:r>
      <w:r w:rsidRPr="008313ED">
        <w:rPr>
          <w:rFonts w:asciiTheme="minorHAnsi" w:hAnsiTheme="minorHAnsi"/>
        </w:rPr>
        <w:t>Law?</w:t>
      </w:r>
      <w:bookmarkEnd w:id="5"/>
    </w:p>
    <w:p w14:paraId="06C27A13" w14:textId="10593EA1" w:rsidR="00240684" w:rsidRPr="008313ED" w:rsidRDefault="001B2E13" w:rsidP="00240684">
      <w:pPr>
        <w:pStyle w:val="NoSpacing"/>
        <w:rPr>
          <w:rFonts w:asciiTheme="minorHAnsi" w:hAnsiTheme="minorHAnsi"/>
        </w:rPr>
      </w:pPr>
      <w:r w:rsidRPr="008313ED">
        <w:rPr>
          <w:rFonts w:asciiTheme="minorHAnsi" w:hAnsiTheme="minorHAnsi"/>
        </w:rPr>
        <w:t>Th</w:t>
      </w:r>
      <w:r w:rsidR="41C34A0D" w:rsidRPr="008313ED">
        <w:rPr>
          <w:rFonts w:asciiTheme="minorHAnsi" w:hAnsiTheme="minorHAnsi"/>
        </w:rPr>
        <w:t>e</w:t>
      </w:r>
      <w:r w:rsidR="41C34A0D" w:rsidRPr="008313ED">
        <w:rPr>
          <w:rFonts w:asciiTheme="minorHAnsi" w:hAnsiTheme="minorHAnsi"/>
          <w:spacing w:val="-4"/>
        </w:rPr>
        <w:t xml:space="preserve"> </w:t>
      </w:r>
      <w:r w:rsidR="41C34A0D" w:rsidRPr="008313ED">
        <w:rPr>
          <w:rFonts w:asciiTheme="minorHAnsi" w:hAnsiTheme="minorHAnsi"/>
        </w:rPr>
        <w:t>local</w:t>
      </w:r>
      <w:r w:rsidR="41C34A0D" w:rsidRPr="008313ED">
        <w:rPr>
          <w:rFonts w:asciiTheme="minorHAnsi" w:hAnsiTheme="minorHAnsi"/>
          <w:spacing w:val="-4"/>
        </w:rPr>
        <w:t xml:space="preserve"> </w:t>
      </w:r>
      <w:r w:rsidR="41C34A0D" w:rsidRPr="008313ED">
        <w:rPr>
          <w:rFonts w:asciiTheme="minorHAnsi" w:hAnsiTheme="minorHAnsi"/>
        </w:rPr>
        <w:t>air</w:t>
      </w:r>
      <w:r w:rsidR="41C34A0D" w:rsidRPr="008313ED">
        <w:rPr>
          <w:rFonts w:asciiTheme="minorHAnsi" w:hAnsiTheme="minorHAnsi"/>
          <w:spacing w:val="-5"/>
        </w:rPr>
        <w:t xml:space="preserve"> </w:t>
      </w:r>
      <w:r w:rsidR="41C34A0D" w:rsidRPr="008313ED">
        <w:rPr>
          <w:rFonts w:asciiTheme="minorHAnsi" w:hAnsiTheme="minorHAnsi"/>
        </w:rPr>
        <w:t>district</w:t>
      </w:r>
      <w:r w:rsidR="41C34A0D" w:rsidRPr="008313ED">
        <w:rPr>
          <w:rFonts w:asciiTheme="minorHAnsi" w:hAnsiTheme="minorHAnsi"/>
          <w:spacing w:val="-3"/>
        </w:rPr>
        <w:t xml:space="preserve"> </w:t>
      </w:r>
      <w:r w:rsidR="41C34A0D" w:rsidRPr="008313ED">
        <w:rPr>
          <w:rFonts w:asciiTheme="minorHAnsi" w:hAnsiTheme="minorHAnsi"/>
        </w:rPr>
        <w:t>enforces</w:t>
      </w:r>
      <w:r w:rsidR="41C34A0D" w:rsidRPr="008313ED">
        <w:rPr>
          <w:rFonts w:asciiTheme="minorHAnsi" w:hAnsiTheme="minorHAnsi"/>
          <w:spacing w:val="-4"/>
        </w:rPr>
        <w:t xml:space="preserve"> </w:t>
      </w:r>
      <w:r w:rsidR="41C34A0D" w:rsidRPr="008313ED">
        <w:rPr>
          <w:rFonts w:asciiTheme="minorHAnsi" w:hAnsiTheme="minorHAnsi"/>
        </w:rPr>
        <w:t>all</w:t>
      </w:r>
      <w:r w:rsidR="41C34A0D" w:rsidRPr="008313ED">
        <w:rPr>
          <w:rFonts w:asciiTheme="minorHAnsi" w:hAnsiTheme="minorHAnsi"/>
          <w:spacing w:val="-4"/>
        </w:rPr>
        <w:t xml:space="preserve"> </w:t>
      </w:r>
      <w:r w:rsidR="379C8042" w:rsidRPr="008313ED">
        <w:rPr>
          <w:rFonts w:asciiTheme="minorHAnsi" w:hAnsiTheme="minorHAnsi"/>
        </w:rPr>
        <w:t>Hot Spots</w:t>
      </w:r>
      <w:r w:rsidR="41C34A0D" w:rsidRPr="008313ED">
        <w:rPr>
          <w:rFonts w:asciiTheme="minorHAnsi" w:hAnsiTheme="minorHAnsi"/>
          <w:spacing w:val="-6"/>
        </w:rPr>
        <w:t xml:space="preserve"> </w:t>
      </w:r>
      <w:r w:rsidR="41C34A0D" w:rsidRPr="008313ED">
        <w:rPr>
          <w:rFonts w:asciiTheme="minorHAnsi" w:hAnsiTheme="minorHAnsi"/>
        </w:rPr>
        <w:t>requirements. If</w:t>
      </w:r>
      <w:r w:rsidR="41C34A0D" w:rsidRPr="008313ED">
        <w:rPr>
          <w:rFonts w:asciiTheme="minorHAnsi" w:hAnsiTheme="minorHAnsi"/>
          <w:spacing w:val="-5"/>
        </w:rPr>
        <w:t xml:space="preserve"> </w:t>
      </w:r>
      <w:r w:rsidR="41C34A0D" w:rsidRPr="008313ED">
        <w:rPr>
          <w:rFonts w:asciiTheme="minorHAnsi" w:hAnsiTheme="minorHAnsi"/>
        </w:rPr>
        <w:t>you</w:t>
      </w:r>
      <w:r w:rsidR="41C34A0D" w:rsidRPr="008313ED">
        <w:rPr>
          <w:rFonts w:asciiTheme="minorHAnsi" w:hAnsiTheme="minorHAnsi"/>
          <w:spacing w:val="-4"/>
        </w:rPr>
        <w:t xml:space="preserve"> </w:t>
      </w:r>
      <w:r w:rsidR="41C34A0D" w:rsidRPr="008313ED">
        <w:rPr>
          <w:rFonts w:asciiTheme="minorHAnsi" w:hAnsiTheme="minorHAnsi"/>
        </w:rPr>
        <w:t>have</w:t>
      </w:r>
      <w:r w:rsidR="41C34A0D" w:rsidRPr="008313ED">
        <w:rPr>
          <w:rFonts w:asciiTheme="minorHAnsi" w:hAnsiTheme="minorHAnsi"/>
          <w:spacing w:val="-4"/>
        </w:rPr>
        <w:t xml:space="preserve"> </w:t>
      </w:r>
      <w:r w:rsidR="41C34A0D" w:rsidRPr="008313ED">
        <w:rPr>
          <w:rFonts w:asciiTheme="minorHAnsi" w:hAnsiTheme="minorHAnsi"/>
        </w:rPr>
        <w:t>specific</w:t>
      </w:r>
      <w:r w:rsidR="41C34A0D" w:rsidRPr="008313ED">
        <w:rPr>
          <w:rFonts w:asciiTheme="minorHAnsi" w:hAnsiTheme="minorHAnsi"/>
          <w:spacing w:val="-3"/>
        </w:rPr>
        <w:t xml:space="preserve"> </w:t>
      </w:r>
      <w:r w:rsidR="41C34A0D" w:rsidRPr="008313ED">
        <w:rPr>
          <w:rFonts w:asciiTheme="minorHAnsi" w:hAnsiTheme="minorHAnsi"/>
        </w:rPr>
        <w:t>questions</w:t>
      </w:r>
      <w:r w:rsidR="41C34A0D" w:rsidRPr="008313ED">
        <w:rPr>
          <w:rFonts w:asciiTheme="minorHAnsi" w:hAnsiTheme="minorHAnsi"/>
          <w:spacing w:val="-5"/>
        </w:rPr>
        <w:t xml:space="preserve"> </w:t>
      </w:r>
      <w:r w:rsidR="41C34A0D" w:rsidRPr="008313ED">
        <w:rPr>
          <w:rFonts w:asciiTheme="minorHAnsi" w:hAnsiTheme="minorHAnsi"/>
        </w:rPr>
        <w:t>about</w:t>
      </w:r>
      <w:r w:rsidR="41C34A0D" w:rsidRPr="008313ED">
        <w:rPr>
          <w:rFonts w:asciiTheme="minorHAnsi" w:hAnsiTheme="minorHAnsi"/>
          <w:spacing w:val="-4"/>
        </w:rPr>
        <w:t xml:space="preserve"> </w:t>
      </w:r>
      <w:proofErr w:type="gramStart"/>
      <w:r w:rsidR="41C34A0D" w:rsidRPr="008313ED">
        <w:rPr>
          <w:rFonts w:asciiTheme="minorHAnsi" w:hAnsiTheme="minorHAnsi"/>
        </w:rPr>
        <w:t>a</w:t>
      </w:r>
      <w:r w:rsidR="41C34A0D" w:rsidRPr="008313ED">
        <w:rPr>
          <w:rFonts w:asciiTheme="minorHAnsi" w:hAnsiTheme="minorHAnsi"/>
          <w:spacing w:val="-4"/>
        </w:rPr>
        <w:t xml:space="preserve"> </w:t>
      </w:r>
      <w:r w:rsidR="41C34A0D" w:rsidRPr="008313ED">
        <w:rPr>
          <w:rFonts w:asciiTheme="minorHAnsi" w:hAnsiTheme="minorHAnsi"/>
        </w:rPr>
        <w:t>facility</w:t>
      </w:r>
      <w:proofErr w:type="gramEnd"/>
      <w:r w:rsidR="41C34A0D" w:rsidRPr="008313ED">
        <w:rPr>
          <w:rFonts w:asciiTheme="minorHAnsi" w:hAnsiTheme="minorHAnsi"/>
        </w:rPr>
        <w:t>,</w:t>
      </w:r>
      <w:r w:rsidR="41C34A0D" w:rsidRPr="008313ED">
        <w:rPr>
          <w:rFonts w:asciiTheme="minorHAnsi" w:hAnsiTheme="minorHAnsi"/>
          <w:spacing w:val="-4"/>
        </w:rPr>
        <w:t xml:space="preserve"> </w:t>
      </w:r>
      <w:r w:rsidR="41C34A0D" w:rsidRPr="008313ED">
        <w:rPr>
          <w:rFonts w:asciiTheme="minorHAnsi" w:hAnsiTheme="minorHAnsi"/>
        </w:rPr>
        <w:t>please</w:t>
      </w:r>
      <w:r w:rsidR="41C34A0D" w:rsidRPr="008313ED">
        <w:rPr>
          <w:rFonts w:asciiTheme="minorHAnsi" w:hAnsiTheme="minorHAnsi"/>
          <w:spacing w:val="-6"/>
        </w:rPr>
        <w:t xml:space="preserve"> </w:t>
      </w:r>
      <w:r w:rsidR="41C34A0D" w:rsidRPr="008313ED">
        <w:rPr>
          <w:rFonts w:asciiTheme="minorHAnsi" w:hAnsiTheme="minorHAnsi"/>
        </w:rPr>
        <w:t>contact</w:t>
      </w:r>
      <w:r w:rsidR="41C34A0D" w:rsidRPr="008313ED">
        <w:rPr>
          <w:rFonts w:asciiTheme="minorHAnsi" w:hAnsiTheme="minorHAnsi"/>
          <w:spacing w:val="-4"/>
        </w:rPr>
        <w:t xml:space="preserve"> </w:t>
      </w:r>
      <w:r w:rsidR="41C34A0D" w:rsidRPr="008313ED">
        <w:rPr>
          <w:rFonts w:asciiTheme="minorHAnsi" w:hAnsiTheme="minorHAnsi"/>
        </w:rPr>
        <w:t>your</w:t>
      </w:r>
      <w:r w:rsidR="41C34A0D" w:rsidRPr="008313ED">
        <w:rPr>
          <w:rFonts w:asciiTheme="minorHAnsi" w:hAnsiTheme="minorHAnsi"/>
          <w:spacing w:val="-5"/>
        </w:rPr>
        <w:t xml:space="preserve"> </w:t>
      </w:r>
      <w:r w:rsidR="41C34A0D" w:rsidRPr="008313ED">
        <w:rPr>
          <w:rFonts w:asciiTheme="minorHAnsi" w:hAnsiTheme="minorHAnsi"/>
        </w:rPr>
        <w:t>local</w:t>
      </w:r>
      <w:r w:rsidR="41C34A0D" w:rsidRPr="008313ED">
        <w:rPr>
          <w:rFonts w:asciiTheme="minorHAnsi" w:hAnsiTheme="minorHAnsi"/>
          <w:spacing w:val="-4"/>
        </w:rPr>
        <w:t xml:space="preserve"> </w:t>
      </w:r>
      <w:hyperlink r:id="rId15" w:history="1">
        <w:r w:rsidR="00240684" w:rsidRPr="008313ED">
          <w:rPr>
            <w:rStyle w:val="Hyperlink"/>
            <w:rFonts w:asciiTheme="minorHAnsi" w:hAnsiTheme="minorHAnsi"/>
          </w:rPr>
          <w:t>air</w:t>
        </w:r>
        <w:r w:rsidR="00240684" w:rsidRPr="008313ED">
          <w:rPr>
            <w:rStyle w:val="Hyperlink"/>
            <w:rFonts w:asciiTheme="minorHAnsi" w:hAnsiTheme="minorHAnsi"/>
            <w:spacing w:val="-3"/>
          </w:rPr>
          <w:t xml:space="preserve"> </w:t>
        </w:r>
        <w:r w:rsidR="00240684" w:rsidRPr="008313ED">
          <w:rPr>
            <w:rStyle w:val="Hyperlink"/>
            <w:rFonts w:asciiTheme="minorHAnsi" w:hAnsiTheme="minorHAnsi"/>
          </w:rPr>
          <w:t>district</w:t>
        </w:r>
      </w:hyperlink>
      <w:r w:rsidR="00240684" w:rsidRPr="008313ED">
        <w:rPr>
          <w:rFonts w:asciiTheme="minorHAnsi" w:hAnsiTheme="minorHAnsi"/>
        </w:rPr>
        <w:t>.</w:t>
      </w:r>
    </w:p>
    <w:p w14:paraId="6DD1CF8A" w14:textId="32995753" w:rsidR="00240684" w:rsidRPr="008313ED" w:rsidRDefault="6A79A0BF" w:rsidP="00240684">
      <w:pPr>
        <w:pStyle w:val="Heading3"/>
        <w:rPr>
          <w:rFonts w:asciiTheme="minorHAnsi" w:hAnsiTheme="minorHAnsi"/>
        </w:rPr>
      </w:pPr>
      <w:bookmarkStart w:id="6" w:name="_Toc187305843"/>
      <w:r w:rsidRPr="008313ED">
        <w:rPr>
          <w:rFonts w:asciiTheme="minorHAnsi" w:hAnsiTheme="minorHAnsi"/>
        </w:rPr>
        <w:t>How</w:t>
      </w:r>
      <w:r w:rsidRPr="008313ED">
        <w:rPr>
          <w:rFonts w:asciiTheme="minorHAnsi" w:hAnsiTheme="minorHAnsi"/>
          <w:spacing w:val="2"/>
        </w:rPr>
        <w:t xml:space="preserve"> </w:t>
      </w:r>
      <w:r w:rsidRPr="008313ED">
        <w:rPr>
          <w:rFonts w:asciiTheme="minorHAnsi" w:hAnsiTheme="minorHAnsi"/>
        </w:rPr>
        <w:t>are</w:t>
      </w:r>
      <w:r w:rsidRPr="008313ED">
        <w:rPr>
          <w:rFonts w:asciiTheme="minorHAnsi" w:hAnsiTheme="minorHAnsi"/>
          <w:spacing w:val="-2"/>
        </w:rPr>
        <w:t xml:space="preserve"> </w:t>
      </w:r>
      <w:r w:rsidRPr="008313ED">
        <w:rPr>
          <w:rFonts w:asciiTheme="minorHAnsi" w:hAnsiTheme="minorHAnsi"/>
        </w:rPr>
        <w:t>changes</w:t>
      </w:r>
      <w:r w:rsidRPr="008313ED">
        <w:rPr>
          <w:rFonts w:asciiTheme="minorHAnsi" w:hAnsiTheme="minorHAnsi"/>
          <w:spacing w:val="-2"/>
        </w:rPr>
        <w:t xml:space="preserve"> </w:t>
      </w:r>
      <w:r w:rsidRPr="008313ED">
        <w:rPr>
          <w:rFonts w:asciiTheme="minorHAnsi" w:hAnsiTheme="minorHAnsi"/>
        </w:rPr>
        <w:t>to</w:t>
      </w:r>
      <w:r w:rsidRPr="008313ED">
        <w:rPr>
          <w:rFonts w:asciiTheme="minorHAnsi" w:hAnsiTheme="minorHAnsi"/>
          <w:spacing w:val="-3"/>
        </w:rPr>
        <w:t xml:space="preserve"> </w:t>
      </w:r>
      <w:r w:rsidR="00BB4EB6" w:rsidRPr="008313ED">
        <w:rPr>
          <w:rFonts w:asciiTheme="minorHAnsi" w:hAnsiTheme="minorHAnsi"/>
        </w:rPr>
        <w:t>Hot Spots</w:t>
      </w:r>
      <w:r w:rsidRPr="008313ED">
        <w:rPr>
          <w:rFonts w:asciiTheme="minorHAnsi" w:hAnsiTheme="minorHAnsi"/>
          <w:spacing w:val="-2"/>
        </w:rPr>
        <w:t xml:space="preserve"> </w:t>
      </w:r>
      <w:r w:rsidRPr="008313ED">
        <w:rPr>
          <w:rFonts w:asciiTheme="minorHAnsi" w:hAnsiTheme="minorHAnsi"/>
        </w:rPr>
        <w:t>made?</w:t>
      </w:r>
      <w:bookmarkEnd w:id="6"/>
    </w:p>
    <w:p w14:paraId="2513DA85" w14:textId="3D8B2275" w:rsidR="00240684" w:rsidRPr="008313ED" w:rsidRDefault="00240684" w:rsidP="00240684">
      <w:pPr>
        <w:pStyle w:val="NoSpacing"/>
        <w:rPr>
          <w:rFonts w:asciiTheme="minorHAnsi" w:hAnsiTheme="minorHAnsi"/>
        </w:rPr>
      </w:pPr>
      <w:r w:rsidRPr="008313ED">
        <w:rPr>
          <w:rFonts w:asciiTheme="minorHAnsi" w:hAnsiTheme="minorHAnsi"/>
        </w:rPr>
        <w:t>The State legislature passed legislation in 1987 (AB 2588, Connelly) that requires CARB to</w:t>
      </w:r>
      <w:r w:rsidRPr="008313ED">
        <w:rPr>
          <w:rFonts w:asciiTheme="minorHAnsi" w:hAnsiTheme="minorHAnsi"/>
          <w:spacing w:val="1"/>
        </w:rPr>
        <w:t xml:space="preserve"> </w:t>
      </w:r>
      <w:r w:rsidRPr="008313ED">
        <w:rPr>
          <w:rFonts w:asciiTheme="minorHAnsi" w:hAnsiTheme="minorHAnsi"/>
        </w:rPr>
        <w:t>adopt a regulation t</w:t>
      </w:r>
      <w:r w:rsidR="00011B5B" w:rsidRPr="008313ED">
        <w:rPr>
          <w:rFonts w:asciiTheme="minorHAnsi" w:hAnsiTheme="minorHAnsi"/>
        </w:rPr>
        <w:t>o</w:t>
      </w:r>
      <w:r w:rsidRPr="008313ED">
        <w:rPr>
          <w:rFonts w:asciiTheme="minorHAnsi" w:hAnsiTheme="minorHAnsi"/>
        </w:rPr>
        <w:t xml:space="preserve"> specif</w:t>
      </w:r>
      <w:r w:rsidR="00011B5B" w:rsidRPr="008313ED">
        <w:rPr>
          <w:rFonts w:asciiTheme="minorHAnsi" w:hAnsiTheme="minorHAnsi"/>
        </w:rPr>
        <w:t xml:space="preserve">y certain criteria </w:t>
      </w:r>
      <w:r w:rsidR="00E30691" w:rsidRPr="008313ED">
        <w:rPr>
          <w:rFonts w:asciiTheme="minorHAnsi" w:hAnsiTheme="minorHAnsi"/>
        </w:rPr>
        <w:t xml:space="preserve">to implement </w:t>
      </w:r>
      <w:r w:rsidRPr="008313ED">
        <w:rPr>
          <w:rFonts w:asciiTheme="minorHAnsi" w:hAnsiTheme="minorHAnsi"/>
        </w:rPr>
        <w:t xml:space="preserve">the AB 2588 </w:t>
      </w:r>
      <w:r w:rsidR="00BB4EB6" w:rsidRPr="008313ED">
        <w:rPr>
          <w:rFonts w:asciiTheme="minorHAnsi" w:hAnsiTheme="minorHAnsi"/>
        </w:rPr>
        <w:t>Hot Spots</w:t>
      </w:r>
      <w:r w:rsidRPr="008313ED">
        <w:rPr>
          <w:rFonts w:asciiTheme="minorHAnsi" w:hAnsiTheme="minorHAnsi"/>
        </w:rPr>
        <w:t xml:space="preserve"> Law.</w:t>
      </w:r>
      <w:r w:rsidRPr="008313ED">
        <w:rPr>
          <w:rFonts w:asciiTheme="minorHAnsi" w:hAnsiTheme="minorHAnsi"/>
          <w:spacing w:val="1"/>
        </w:rPr>
        <w:t xml:space="preserve"> </w:t>
      </w:r>
      <w:r w:rsidRPr="008313ED">
        <w:rPr>
          <w:rFonts w:asciiTheme="minorHAnsi" w:hAnsiTheme="minorHAnsi"/>
        </w:rPr>
        <w:t>The</w:t>
      </w:r>
      <w:r w:rsidRPr="008313ED" w:rsidDel="00B82B5A">
        <w:rPr>
          <w:rFonts w:asciiTheme="minorHAnsi" w:hAnsiTheme="minorHAnsi"/>
        </w:rPr>
        <w:t xml:space="preserve"> </w:t>
      </w:r>
      <w:hyperlink r:id="rId16" w:history="1">
        <w:r w:rsidR="00011B5B" w:rsidRPr="008313ED">
          <w:rPr>
            <w:rStyle w:val="Hyperlink"/>
            <w:rFonts w:asciiTheme="minorHAnsi" w:hAnsiTheme="minorHAnsi"/>
            <w:i w:val="0"/>
            <w:iCs/>
          </w:rPr>
          <w:t>Emission Inventory Criteria and Guidelines Regulation</w:t>
        </w:r>
        <w:r w:rsidR="00011B5B" w:rsidRPr="008313ED">
          <w:rPr>
            <w:rStyle w:val="Hyperlink"/>
            <w:rFonts w:asciiTheme="minorHAnsi" w:hAnsiTheme="minorHAnsi"/>
          </w:rPr>
          <w:t xml:space="preserve"> </w:t>
        </w:r>
      </w:hyperlink>
      <w:r w:rsidR="00011B5B" w:rsidRPr="008313ED">
        <w:rPr>
          <w:rFonts w:asciiTheme="minorHAnsi" w:hAnsiTheme="minorHAnsi"/>
        </w:rPr>
        <w:t xml:space="preserve">(Guidelines, or </w:t>
      </w:r>
      <w:r w:rsidR="00B82B5A" w:rsidRPr="008313ED">
        <w:rPr>
          <w:rFonts w:asciiTheme="minorHAnsi" w:hAnsiTheme="minorHAnsi"/>
        </w:rPr>
        <w:t xml:space="preserve">EICG </w:t>
      </w:r>
      <w:r w:rsidRPr="008313ED">
        <w:rPr>
          <w:rFonts w:asciiTheme="minorHAnsi" w:hAnsiTheme="minorHAnsi"/>
        </w:rPr>
        <w:t>Regulation</w:t>
      </w:r>
      <w:r w:rsidR="00011B5B" w:rsidRPr="008313ED">
        <w:rPr>
          <w:rFonts w:asciiTheme="minorHAnsi" w:hAnsiTheme="minorHAnsi"/>
        </w:rPr>
        <w:t>)</w:t>
      </w:r>
      <w:r w:rsidRPr="008313ED">
        <w:rPr>
          <w:rFonts w:asciiTheme="minorHAnsi" w:hAnsiTheme="minorHAnsi"/>
        </w:rPr>
        <w:t xml:space="preserve"> has been updated a few times over the past 20 years and</w:t>
      </w:r>
      <w:r w:rsidRPr="008313ED">
        <w:rPr>
          <w:rFonts w:asciiTheme="minorHAnsi" w:hAnsiTheme="minorHAnsi"/>
          <w:spacing w:val="1"/>
        </w:rPr>
        <w:t xml:space="preserve"> </w:t>
      </w:r>
      <w:r w:rsidRPr="008313ED">
        <w:rPr>
          <w:rFonts w:asciiTheme="minorHAnsi" w:hAnsiTheme="minorHAnsi"/>
        </w:rPr>
        <w:t>implements the intent of the Legislature.</w:t>
      </w:r>
      <w:r w:rsidRPr="008313ED">
        <w:rPr>
          <w:rFonts w:asciiTheme="minorHAnsi" w:hAnsiTheme="minorHAnsi"/>
          <w:spacing w:val="1"/>
        </w:rPr>
        <w:t xml:space="preserve"> </w:t>
      </w:r>
      <w:r w:rsidR="0066215A" w:rsidRPr="008313ED">
        <w:rPr>
          <w:rFonts w:asciiTheme="minorHAnsi" w:hAnsiTheme="minorHAnsi"/>
        </w:rPr>
        <w:t>EICG</w:t>
      </w:r>
      <w:r w:rsidRPr="008313ED">
        <w:rPr>
          <w:rFonts w:asciiTheme="minorHAnsi" w:hAnsiTheme="minorHAnsi"/>
        </w:rPr>
        <w:t xml:space="preserve"> describes which types of</w:t>
      </w:r>
      <w:r w:rsidRPr="008313ED">
        <w:rPr>
          <w:rFonts w:asciiTheme="minorHAnsi" w:hAnsiTheme="minorHAnsi"/>
          <w:spacing w:val="1"/>
        </w:rPr>
        <w:t xml:space="preserve"> </w:t>
      </w:r>
      <w:r w:rsidRPr="008313ED">
        <w:rPr>
          <w:rFonts w:asciiTheme="minorHAnsi" w:hAnsiTheme="minorHAnsi"/>
        </w:rPr>
        <w:t xml:space="preserve">facilities are subject to the Program, which pollutants are reported, and how those emissions are to </w:t>
      </w:r>
      <w:r w:rsidR="008D0036" w:rsidRPr="008313ED">
        <w:rPr>
          <w:rFonts w:asciiTheme="minorHAnsi" w:hAnsiTheme="minorHAnsi"/>
        </w:rPr>
        <w:t>be reported</w:t>
      </w:r>
      <w:r w:rsidR="00F76422" w:rsidRPr="008313ED">
        <w:rPr>
          <w:rFonts w:asciiTheme="minorHAnsi" w:hAnsiTheme="minorHAnsi"/>
        </w:rPr>
        <w:t>.</w:t>
      </w:r>
    </w:p>
    <w:p w14:paraId="05B2DDB0" w14:textId="7A23B903" w:rsidR="00240684" w:rsidRPr="008313ED" w:rsidRDefault="6A79A0BF" w:rsidP="00240684">
      <w:pPr>
        <w:pStyle w:val="Heading3"/>
        <w:rPr>
          <w:rFonts w:asciiTheme="minorHAnsi" w:hAnsiTheme="minorHAnsi"/>
        </w:rPr>
      </w:pPr>
      <w:bookmarkStart w:id="7" w:name="_Toc187305844"/>
      <w:r w:rsidRPr="008313ED">
        <w:rPr>
          <w:rFonts w:asciiTheme="minorHAnsi" w:hAnsiTheme="minorHAnsi"/>
        </w:rPr>
        <w:t>What</w:t>
      </w:r>
      <w:r w:rsidRPr="008313ED">
        <w:rPr>
          <w:rFonts w:asciiTheme="minorHAnsi" w:hAnsiTheme="minorHAnsi"/>
          <w:spacing w:val="-2"/>
        </w:rPr>
        <w:t xml:space="preserve"> </w:t>
      </w:r>
      <w:r w:rsidRPr="008313ED">
        <w:rPr>
          <w:rFonts w:asciiTheme="minorHAnsi" w:hAnsiTheme="minorHAnsi"/>
        </w:rPr>
        <w:t>changes</w:t>
      </w:r>
      <w:r w:rsidRPr="008313ED">
        <w:rPr>
          <w:rFonts w:asciiTheme="minorHAnsi" w:hAnsiTheme="minorHAnsi"/>
          <w:spacing w:val="-6"/>
        </w:rPr>
        <w:t xml:space="preserve"> </w:t>
      </w:r>
      <w:r w:rsidRPr="008313ED">
        <w:rPr>
          <w:rFonts w:asciiTheme="minorHAnsi" w:hAnsiTheme="minorHAnsi"/>
        </w:rPr>
        <w:t>were</w:t>
      </w:r>
      <w:r w:rsidRPr="008313ED">
        <w:rPr>
          <w:rFonts w:asciiTheme="minorHAnsi" w:hAnsiTheme="minorHAnsi"/>
          <w:spacing w:val="-3"/>
        </w:rPr>
        <w:t xml:space="preserve"> </w:t>
      </w:r>
      <w:r w:rsidR="001322B6" w:rsidRPr="008313ED">
        <w:rPr>
          <w:rFonts w:asciiTheme="minorHAnsi" w:hAnsiTheme="minorHAnsi"/>
        </w:rPr>
        <w:t xml:space="preserve">approved </w:t>
      </w:r>
      <w:r w:rsidRPr="008313ED">
        <w:rPr>
          <w:rFonts w:asciiTheme="minorHAnsi" w:hAnsiTheme="minorHAnsi"/>
        </w:rPr>
        <w:t>by</w:t>
      </w:r>
      <w:r w:rsidRPr="008313ED">
        <w:rPr>
          <w:rFonts w:asciiTheme="minorHAnsi" w:hAnsiTheme="minorHAnsi"/>
          <w:spacing w:val="-6"/>
        </w:rPr>
        <w:t xml:space="preserve"> </w:t>
      </w:r>
      <w:r w:rsidRPr="008313ED">
        <w:rPr>
          <w:rFonts w:asciiTheme="minorHAnsi" w:hAnsiTheme="minorHAnsi"/>
        </w:rPr>
        <w:t>the</w:t>
      </w:r>
      <w:r w:rsidRPr="008313ED">
        <w:rPr>
          <w:rFonts w:asciiTheme="minorHAnsi" w:hAnsiTheme="minorHAnsi"/>
          <w:spacing w:val="-2"/>
        </w:rPr>
        <w:t xml:space="preserve"> </w:t>
      </w:r>
      <w:r w:rsidRPr="008313ED">
        <w:rPr>
          <w:rFonts w:asciiTheme="minorHAnsi" w:hAnsiTheme="minorHAnsi"/>
        </w:rPr>
        <w:t>Board</w:t>
      </w:r>
      <w:r w:rsidRPr="008313ED">
        <w:rPr>
          <w:rFonts w:asciiTheme="minorHAnsi" w:hAnsiTheme="minorHAnsi"/>
          <w:spacing w:val="-3"/>
        </w:rPr>
        <w:t xml:space="preserve"> </w:t>
      </w:r>
      <w:r w:rsidRPr="008313ED">
        <w:rPr>
          <w:rFonts w:asciiTheme="minorHAnsi" w:hAnsiTheme="minorHAnsi"/>
        </w:rPr>
        <w:t>in</w:t>
      </w:r>
      <w:r w:rsidRPr="008313ED">
        <w:rPr>
          <w:rFonts w:asciiTheme="minorHAnsi" w:hAnsiTheme="minorHAnsi"/>
          <w:spacing w:val="-2"/>
        </w:rPr>
        <w:t xml:space="preserve"> </w:t>
      </w:r>
      <w:r w:rsidRPr="008313ED">
        <w:rPr>
          <w:rFonts w:asciiTheme="minorHAnsi" w:hAnsiTheme="minorHAnsi"/>
        </w:rPr>
        <w:t>November</w:t>
      </w:r>
      <w:r w:rsidRPr="008313ED">
        <w:rPr>
          <w:rFonts w:asciiTheme="minorHAnsi" w:hAnsiTheme="minorHAnsi"/>
          <w:spacing w:val="-3"/>
        </w:rPr>
        <w:t xml:space="preserve"> </w:t>
      </w:r>
      <w:r w:rsidRPr="008313ED">
        <w:rPr>
          <w:rFonts w:asciiTheme="minorHAnsi" w:hAnsiTheme="minorHAnsi"/>
        </w:rPr>
        <w:t>2020?</w:t>
      </w:r>
      <w:bookmarkEnd w:id="7"/>
    </w:p>
    <w:p w14:paraId="2D5D4FD4" w14:textId="7B8C7C25" w:rsidR="00240684" w:rsidRPr="008313ED" w:rsidRDefault="00240684" w:rsidP="00240684">
      <w:pPr>
        <w:pStyle w:val="NoSpacing"/>
        <w:rPr>
          <w:rFonts w:asciiTheme="minorHAnsi" w:hAnsiTheme="minorHAnsi"/>
        </w:rPr>
      </w:pPr>
      <w:r w:rsidRPr="008313ED">
        <w:rPr>
          <w:rFonts w:asciiTheme="minorHAnsi" w:hAnsiTheme="minorHAnsi"/>
        </w:rPr>
        <w:t>The 2020 amendments revise</w:t>
      </w:r>
      <w:r w:rsidR="00E30691" w:rsidRPr="008313ED">
        <w:rPr>
          <w:rFonts w:asciiTheme="minorHAnsi" w:hAnsiTheme="minorHAnsi"/>
        </w:rPr>
        <w:t>d</w:t>
      </w:r>
      <w:r w:rsidRPr="008313ED">
        <w:rPr>
          <w:rFonts w:asciiTheme="minorHAnsi" w:hAnsiTheme="minorHAnsi"/>
        </w:rPr>
        <w:t xml:space="preserve"> the </w:t>
      </w:r>
      <w:r w:rsidR="00FD0B8F" w:rsidRPr="008313ED">
        <w:rPr>
          <w:rFonts w:asciiTheme="minorHAnsi" w:hAnsiTheme="minorHAnsi"/>
        </w:rPr>
        <w:t>EICG</w:t>
      </w:r>
      <w:r w:rsidRPr="008313ED">
        <w:rPr>
          <w:rFonts w:asciiTheme="minorHAnsi" w:hAnsiTheme="minorHAnsi"/>
        </w:rPr>
        <w:t xml:space="preserve"> Regulation (Title 17, California Code of Regulations, </w:t>
      </w:r>
      <w:r w:rsidR="00265B35" w:rsidRPr="008313ED">
        <w:rPr>
          <w:rFonts w:asciiTheme="minorHAnsi" w:hAnsiTheme="minorHAnsi"/>
        </w:rPr>
        <w:t>S</w:t>
      </w:r>
      <w:r w:rsidRPr="008313ED">
        <w:rPr>
          <w:rFonts w:asciiTheme="minorHAnsi" w:hAnsiTheme="minorHAnsi"/>
        </w:rPr>
        <w:t>ection 93300.5) to incorporate by reference the 2020 amended Emission Inventory Criteria and Guidelines Report (2020 EICG Report). The amendments included in the 2020 EICG Report include revisions to the main sections (</w:t>
      </w:r>
      <w:r w:rsidR="00265B35" w:rsidRPr="008313ED">
        <w:rPr>
          <w:rFonts w:asciiTheme="minorHAnsi" w:hAnsiTheme="minorHAnsi"/>
        </w:rPr>
        <w:t>S</w:t>
      </w:r>
      <w:r w:rsidRPr="008313ED">
        <w:rPr>
          <w:rFonts w:asciiTheme="minorHAnsi" w:hAnsiTheme="minorHAnsi"/>
        </w:rPr>
        <w:t xml:space="preserve">ections I through XI), as well as the Appendices (Appendix A through Appendix G). Changes were made to the diesel engine reporting requirements including an update </w:t>
      </w:r>
      <w:r w:rsidR="00F812B6" w:rsidRPr="008313ED">
        <w:rPr>
          <w:rFonts w:asciiTheme="minorHAnsi" w:hAnsiTheme="minorHAnsi"/>
        </w:rPr>
        <w:t xml:space="preserve">to </w:t>
      </w:r>
      <w:r w:rsidRPr="008313ED">
        <w:rPr>
          <w:rFonts w:asciiTheme="minorHAnsi" w:hAnsiTheme="minorHAnsi"/>
        </w:rPr>
        <w:t>requir</w:t>
      </w:r>
      <w:r w:rsidR="002D707E" w:rsidRPr="008313ED">
        <w:rPr>
          <w:rFonts w:asciiTheme="minorHAnsi" w:hAnsiTheme="minorHAnsi"/>
        </w:rPr>
        <w:t>e</w:t>
      </w:r>
      <w:r w:rsidRPr="008313ED">
        <w:rPr>
          <w:rFonts w:asciiTheme="minorHAnsi" w:hAnsiTheme="minorHAnsi"/>
        </w:rPr>
        <w:t xml:space="preserve"> reporting of emissions from stationary portable diesel engines greater than 50 horsepower at specified larger facilities</w:t>
      </w:r>
      <w:r w:rsidR="00B40018" w:rsidRPr="008313ED">
        <w:rPr>
          <w:rFonts w:asciiTheme="minorHAnsi" w:hAnsiTheme="minorHAnsi"/>
        </w:rPr>
        <w:t xml:space="preserve"> and enhance</w:t>
      </w:r>
      <w:r w:rsidR="00D048B9" w:rsidRPr="008313ED">
        <w:rPr>
          <w:rFonts w:asciiTheme="minorHAnsi" w:hAnsiTheme="minorHAnsi"/>
        </w:rPr>
        <w:t xml:space="preserve"> </w:t>
      </w:r>
      <w:r w:rsidRPr="008313ED">
        <w:rPr>
          <w:rFonts w:asciiTheme="minorHAnsi" w:hAnsiTheme="minorHAnsi"/>
        </w:rPr>
        <w:t>the language to clarify District discretion</w:t>
      </w:r>
      <w:r w:rsidR="313430B0" w:rsidRPr="008313ED">
        <w:rPr>
          <w:rFonts w:asciiTheme="minorHAnsi" w:hAnsiTheme="minorHAnsi"/>
        </w:rPr>
        <w:t xml:space="preserve"> for </w:t>
      </w:r>
      <w:r w:rsidR="4B1A933B" w:rsidRPr="008313ED">
        <w:rPr>
          <w:rFonts w:asciiTheme="minorHAnsi" w:hAnsiTheme="minorHAnsi"/>
        </w:rPr>
        <w:t>other</w:t>
      </w:r>
      <w:r w:rsidR="415EF88F" w:rsidRPr="008313ED">
        <w:rPr>
          <w:rFonts w:asciiTheme="minorHAnsi" w:hAnsiTheme="minorHAnsi"/>
        </w:rPr>
        <w:t xml:space="preserve"> diesel engines</w:t>
      </w:r>
      <w:r w:rsidR="102EF77A" w:rsidRPr="008313ED">
        <w:rPr>
          <w:rFonts w:asciiTheme="minorHAnsi" w:hAnsiTheme="minorHAnsi"/>
        </w:rPr>
        <w:t>.</w:t>
      </w:r>
      <w:r w:rsidRPr="008313ED">
        <w:rPr>
          <w:rFonts w:asciiTheme="minorHAnsi" w:hAnsiTheme="minorHAnsi"/>
        </w:rPr>
        <w:t xml:space="preserve"> The Appendix A list of reportable substances was updated to include many new</w:t>
      </w:r>
      <w:r w:rsidR="00050DC4" w:rsidRPr="008313ED">
        <w:rPr>
          <w:rFonts w:asciiTheme="minorHAnsi" w:hAnsiTheme="minorHAnsi"/>
        </w:rPr>
        <w:t xml:space="preserve"> or </w:t>
      </w:r>
      <w:r w:rsidRPr="008313ED">
        <w:rPr>
          <w:rFonts w:asciiTheme="minorHAnsi" w:hAnsiTheme="minorHAnsi"/>
        </w:rPr>
        <w:t>modified chemicals of concern. Appendix E was updated to include additional classes</w:t>
      </w:r>
      <w:r w:rsidR="00050DC4" w:rsidRPr="008313ED">
        <w:rPr>
          <w:rFonts w:asciiTheme="minorHAnsi" w:hAnsiTheme="minorHAnsi"/>
        </w:rPr>
        <w:t xml:space="preserve"> or </w:t>
      </w:r>
      <w:r w:rsidRPr="008313ED">
        <w:rPr>
          <w:rFonts w:asciiTheme="minorHAnsi" w:hAnsiTheme="minorHAnsi"/>
        </w:rPr>
        <w:t>sectors</w:t>
      </w:r>
      <w:r w:rsidR="3116DDC6" w:rsidRPr="008313ED">
        <w:rPr>
          <w:rFonts w:asciiTheme="minorHAnsi" w:hAnsiTheme="minorHAnsi"/>
        </w:rPr>
        <w:t>,</w:t>
      </w:r>
      <w:r w:rsidRPr="008313ED">
        <w:rPr>
          <w:rFonts w:asciiTheme="minorHAnsi" w:hAnsiTheme="minorHAnsi"/>
        </w:rPr>
        <w:t xml:space="preserve"> and reporting thresholds for facility types posing potential public health concerns. Additionally, the Appendix E categories and thresholds were revised to more health protective levels</w:t>
      </w:r>
      <w:r w:rsidR="00357815" w:rsidRPr="008313ED">
        <w:rPr>
          <w:rFonts w:asciiTheme="minorHAnsi" w:hAnsiTheme="minorHAnsi"/>
        </w:rPr>
        <w:t xml:space="preserve">. </w:t>
      </w:r>
    </w:p>
    <w:p w14:paraId="6FCC5154" w14:textId="77777777" w:rsidR="00240684" w:rsidRPr="008313ED" w:rsidRDefault="6A79A0BF" w:rsidP="00240684">
      <w:pPr>
        <w:pStyle w:val="Heading3"/>
        <w:rPr>
          <w:rFonts w:asciiTheme="minorHAnsi" w:hAnsiTheme="minorHAnsi"/>
        </w:rPr>
      </w:pPr>
      <w:bookmarkStart w:id="8" w:name="_Toc187305845"/>
      <w:r w:rsidRPr="008313ED">
        <w:rPr>
          <w:rFonts w:asciiTheme="minorHAnsi" w:hAnsiTheme="minorHAnsi"/>
        </w:rPr>
        <w:t>When</w:t>
      </w:r>
      <w:r w:rsidRPr="008313ED">
        <w:rPr>
          <w:rFonts w:asciiTheme="minorHAnsi" w:hAnsiTheme="minorHAnsi"/>
          <w:spacing w:val="-5"/>
        </w:rPr>
        <w:t xml:space="preserve"> </w:t>
      </w:r>
      <w:r w:rsidRPr="008313ED">
        <w:rPr>
          <w:rFonts w:asciiTheme="minorHAnsi" w:hAnsiTheme="minorHAnsi"/>
        </w:rPr>
        <w:t>did</w:t>
      </w:r>
      <w:r w:rsidRPr="008313ED">
        <w:rPr>
          <w:rFonts w:asciiTheme="minorHAnsi" w:hAnsiTheme="minorHAnsi"/>
          <w:spacing w:val="-5"/>
        </w:rPr>
        <w:t xml:space="preserve"> </w:t>
      </w:r>
      <w:r w:rsidRPr="008313ED">
        <w:rPr>
          <w:rFonts w:asciiTheme="minorHAnsi" w:hAnsiTheme="minorHAnsi"/>
        </w:rPr>
        <w:t>these</w:t>
      </w:r>
      <w:r w:rsidRPr="008313ED">
        <w:rPr>
          <w:rFonts w:asciiTheme="minorHAnsi" w:hAnsiTheme="minorHAnsi"/>
          <w:spacing w:val="-5"/>
        </w:rPr>
        <w:t xml:space="preserve"> </w:t>
      </w:r>
      <w:r w:rsidRPr="008313ED">
        <w:rPr>
          <w:rFonts w:asciiTheme="minorHAnsi" w:hAnsiTheme="minorHAnsi"/>
        </w:rPr>
        <w:t>new</w:t>
      </w:r>
      <w:r w:rsidRPr="008313ED">
        <w:rPr>
          <w:rFonts w:asciiTheme="minorHAnsi" w:hAnsiTheme="minorHAnsi"/>
          <w:spacing w:val="-1"/>
        </w:rPr>
        <w:t xml:space="preserve"> </w:t>
      </w:r>
      <w:r w:rsidRPr="008313ED">
        <w:rPr>
          <w:rFonts w:asciiTheme="minorHAnsi" w:hAnsiTheme="minorHAnsi"/>
        </w:rPr>
        <w:t>requirements</w:t>
      </w:r>
      <w:r w:rsidRPr="008313ED">
        <w:rPr>
          <w:rFonts w:asciiTheme="minorHAnsi" w:hAnsiTheme="minorHAnsi"/>
          <w:spacing w:val="-5"/>
        </w:rPr>
        <w:t xml:space="preserve"> </w:t>
      </w:r>
      <w:r w:rsidRPr="008313ED">
        <w:rPr>
          <w:rFonts w:asciiTheme="minorHAnsi" w:hAnsiTheme="minorHAnsi"/>
        </w:rPr>
        <w:t>become</w:t>
      </w:r>
      <w:r w:rsidRPr="008313ED">
        <w:rPr>
          <w:rFonts w:asciiTheme="minorHAnsi" w:hAnsiTheme="minorHAnsi"/>
          <w:spacing w:val="-4"/>
        </w:rPr>
        <w:t xml:space="preserve"> </w:t>
      </w:r>
      <w:r w:rsidRPr="008313ED">
        <w:rPr>
          <w:rFonts w:asciiTheme="minorHAnsi" w:hAnsiTheme="minorHAnsi"/>
        </w:rPr>
        <w:t>applicable?</w:t>
      </w:r>
      <w:bookmarkEnd w:id="8"/>
    </w:p>
    <w:p w14:paraId="498B9B54" w14:textId="7A9E9956" w:rsidR="00240684" w:rsidRPr="008313ED" w:rsidRDefault="00240684" w:rsidP="00651E82">
      <w:pPr>
        <w:pStyle w:val="NoSpacing"/>
        <w:rPr>
          <w:rFonts w:asciiTheme="minorHAnsi" w:hAnsiTheme="minorHAnsi"/>
        </w:rPr>
      </w:pPr>
      <w:r w:rsidRPr="008313ED">
        <w:rPr>
          <w:rFonts w:asciiTheme="minorHAnsi" w:hAnsiTheme="minorHAnsi"/>
        </w:rPr>
        <w:t>The amended EICG Guidelines are in effect as of March 21, 2022.</w:t>
      </w:r>
    </w:p>
    <w:p w14:paraId="18F9050F" w14:textId="185699A6" w:rsidR="00DD71AF" w:rsidRPr="008313ED" w:rsidRDefault="5608A243" w:rsidP="0065674F">
      <w:pPr>
        <w:pStyle w:val="Heading3"/>
        <w:rPr>
          <w:rFonts w:asciiTheme="minorHAnsi" w:eastAsia="Segoe UI" w:hAnsiTheme="minorHAnsi"/>
        </w:rPr>
      </w:pPr>
      <w:bookmarkStart w:id="9" w:name="_Toc187305846"/>
      <w:r w:rsidRPr="008313ED">
        <w:rPr>
          <w:rFonts w:asciiTheme="minorHAnsi" w:eastAsia="Segoe UI" w:hAnsiTheme="minorHAnsi"/>
        </w:rPr>
        <w:t>How is emission inventory reporting different from an air district annual report?</w:t>
      </w:r>
      <w:bookmarkEnd w:id="9"/>
      <w:r w:rsidRPr="008313ED">
        <w:rPr>
          <w:rFonts w:asciiTheme="minorHAnsi" w:eastAsia="Segoe UI" w:hAnsiTheme="minorHAnsi"/>
        </w:rPr>
        <w:t xml:space="preserve"> </w:t>
      </w:r>
    </w:p>
    <w:p w14:paraId="126EE7FF" w14:textId="093FED25" w:rsidR="00DD71AF" w:rsidRPr="008313ED" w:rsidRDefault="5608A243" w:rsidP="00721D69">
      <w:pPr>
        <w:pStyle w:val="NoSpacing"/>
        <w:rPr>
          <w:rFonts w:asciiTheme="minorHAnsi" w:hAnsiTheme="minorHAnsi"/>
        </w:rPr>
      </w:pPr>
      <w:r w:rsidRPr="008313ED">
        <w:rPr>
          <w:rFonts w:asciiTheme="minorHAnsi" w:hAnsiTheme="minorHAnsi"/>
        </w:rPr>
        <w:t xml:space="preserve">There are </w:t>
      </w:r>
      <w:r w:rsidRPr="008313ED">
        <w:rPr>
          <w:rFonts w:asciiTheme="minorHAnsi" w:hAnsiTheme="minorHAnsi"/>
          <w:b/>
          <w:bCs/>
        </w:rPr>
        <w:t>two</w:t>
      </w:r>
      <w:r w:rsidRPr="008313ED">
        <w:rPr>
          <w:rFonts w:asciiTheme="minorHAnsi" w:hAnsiTheme="minorHAnsi"/>
        </w:rPr>
        <w:t xml:space="preserve"> different types of reporting requirements defined in the California Health and Safety Code (HSC), both of which involve the Air Districts in their central role in implementing AB 2588:</w:t>
      </w:r>
    </w:p>
    <w:p w14:paraId="2AECED73" w14:textId="77777777" w:rsidR="00721D69" w:rsidRPr="008313ED" w:rsidRDefault="00721D69" w:rsidP="00721D69">
      <w:pPr>
        <w:pStyle w:val="NoSpacing"/>
        <w:rPr>
          <w:rFonts w:asciiTheme="minorHAnsi" w:eastAsia="Segoe UI" w:hAnsiTheme="minorHAnsi" w:cs="Segoe UI"/>
          <w:color w:val="000000" w:themeColor="text1"/>
        </w:rPr>
      </w:pPr>
    </w:p>
    <w:p w14:paraId="76D31394" w14:textId="04D405AC" w:rsidR="00DD71AF" w:rsidRPr="008313ED" w:rsidRDefault="5608A243" w:rsidP="00721D69">
      <w:pPr>
        <w:pStyle w:val="NoSpacing"/>
        <w:rPr>
          <w:rFonts w:asciiTheme="minorHAnsi" w:eastAsia="Segoe UI" w:hAnsiTheme="minorHAnsi" w:cs="Segoe UI"/>
          <w:b/>
          <w:color w:val="0078D4"/>
        </w:rPr>
      </w:pPr>
      <w:r w:rsidRPr="008313ED">
        <w:rPr>
          <w:rFonts w:asciiTheme="minorHAnsi" w:eastAsia="Segoe UI" w:hAnsiTheme="minorHAnsi" w:cs="Segoe UI"/>
          <w:i/>
          <w:iCs/>
          <w:color w:val="0078D4"/>
          <w:u w:val="single"/>
        </w:rPr>
        <w:t>Emission Inventory Reporting</w:t>
      </w:r>
    </w:p>
    <w:p w14:paraId="33C11E04" w14:textId="2C29D786" w:rsidR="00DD71AF" w:rsidRPr="008313ED" w:rsidRDefault="5608A243" w:rsidP="00721D69">
      <w:pPr>
        <w:pStyle w:val="NoSpacing"/>
        <w:rPr>
          <w:rFonts w:asciiTheme="minorHAnsi" w:eastAsia="Segoe UI" w:hAnsiTheme="minorHAnsi" w:cs="Segoe UI"/>
          <w:color w:val="000000" w:themeColor="text1"/>
        </w:rPr>
      </w:pPr>
      <w:r w:rsidRPr="008313ED">
        <w:rPr>
          <w:rFonts w:asciiTheme="minorHAnsi" w:eastAsia="Segoe UI" w:hAnsiTheme="minorHAnsi" w:cs="Segoe UI"/>
          <w:color w:val="000000" w:themeColor="text1"/>
        </w:rPr>
        <w:t xml:space="preserve">As defined in the HSC §44340, a facility operator is required to prepare and submit an “emission inventory” report of their annual air toxic emissions released from their facility. These emission inventories are then reviewed and approved by the Air District. Following this review, the Air District submits the emissions data for each facility to CARB's statewide emission inventory data system (CEIDARS). Pursuant to HSC §44342, CARB establishes </w:t>
      </w:r>
      <w:hyperlink r:id="rId17">
        <w:r w:rsidRPr="008313ED">
          <w:rPr>
            <w:rStyle w:val="Hyperlink"/>
            <w:rFonts w:asciiTheme="minorHAnsi" w:eastAsia="Segoe UI" w:hAnsiTheme="minorHAnsi" w:cs="Segoe UI"/>
            <w:color w:val="467886"/>
            <w:u w:val="single"/>
          </w:rPr>
          <w:t>Emission Inventory Criteria &amp; Guidelines (EICG)</w:t>
        </w:r>
      </w:hyperlink>
      <w:r w:rsidRPr="008313ED">
        <w:rPr>
          <w:rFonts w:asciiTheme="minorHAnsi" w:eastAsia="Segoe UI" w:hAnsiTheme="minorHAnsi" w:cs="Segoe UI"/>
          <w:color w:val="000000" w:themeColor="text1"/>
        </w:rPr>
        <w:t xml:space="preserve"> for facility operators and air districts to follow in preparation of the emission inventory report.  HSC §44345 requires CARB to compile and make available “all data” reported by all facilities subject to the program. </w:t>
      </w:r>
    </w:p>
    <w:p w14:paraId="5DAAFB05" w14:textId="77777777" w:rsidR="00721D69" w:rsidRPr="008313ED" w:rsidRDefault="00721D69" w:rsidP="00721D69">
      <w:pPr>
        <w:pStyle w:val="NoSpacing"/>
        <w:rPr>
          <w:rFonts w:asciiTheme="minorHAnsi" w:eastAsia="Segoe UI" w:hAnsiTheme="minorHAnsi" w:cs="Segoe UI"/>
          <w:color w:val="000000" w:themeColor="text1"/>
        </w:rPr>
      </w:pPr>
    </w:p>
    <w:p w14:paraId="1E113D4C" w14:textId="0B7FCAB9" w:rsidR="00DD71AF" w:rsidRPr="008313ED" w:rsidRDefault="5608A243" w:rsidP="00721D69">
      <w:pPr>
        <w:pStyle w:val="NoSpacing"/>
        <w:rPr>
          <w:rFonts w:asciiTheme="minorHAnsi" w:eastAsia="Segoe UI" w:hAnsiTheme="minorHAnsi" w:cs="Segoe UI"/>
          <w:color w:val="000000" w:themeColor="text1"/>
          <w:u w:val="single"/>
        </w:rPr>
      </w:pPr>
      <w:r w:rsidRPr="008313ED">
        <w:rPr>
          <w:rFonts w:asciiTheme="minorHAnsi" w:eastAsia="Segoe UI" w:hAnsiTheme="minorHAnsi" w:cs="Segoe UI"/>
          <w:color w:val="000000" w:themeColor="text1"/>
        </w:rPr>
        <w:t xml:space="preserve">Reporting of emissions applies to all facilities in the program, not just “high priority” or “high risk” facilities. In addition, the AB 2588 statute has broad applicability for all “routine” and “predictable” releases (including fugitive releases) and a broad definition for “facility”. It is important to </w:t>
      </w:r>
      <w:r w:rsidR="005D6302" w:rsidRPr="008313ED">
        <w:rPr>
          <w:rFonts w:asciiTheme="minorHAnsi" w:eastAsia="Segoe UI" w:hAnsiTheme="minorHAnsi" w:cs="Segoe UI"/>
          <w:color w:val="000000" w:themeColor="text1"/>
        </w:rPr>
        <w:t>note that</w:t>
      </w:r>
      <w:r w:rsidRPr="008313ED">
        <w:rPr>
          <w:rFonts w:asciiTheme="minorHAnsi" w:eastAsia="Segoe UI" w:hAnsiTheme="minorHAnsi" w:cs="Segoe UI"/>
          <w:color w:val="000000" w:themeColor="text1"/>
        </w:rPr>
        <w:t xml:space="preserve"> AB 2588 requirements apply to a facility </w:t>
      </w:r>
      <w:proofErr w:type="gramStart"/>
      <w:r w:rsidRPr="008313ED">
        <w:rPr>
          <w:rFonts w:asciiTheme="minorHAnsi" w:eastAsia="Segoe UI" w:hAnsiTheme="minorHAnsi" w:cs="Segoe UI"/>
          <w:color w:val="000000" w:themeColor="text1"/>
        </w:rPr>
        <w:t>whether or not</w:t>
      </w:r>
      <w:proofErr w:type="gramEnd"/>
      <w:r w:rsidRPr="008313ED">
        <w:rPr>
          <w:rFonts w:asciiTheme="minorHAnsi" w:eastAsia="Segoe UI" w:hAnsiTheme="minorHAnsi" w:cs="Segoe UI"/>
          <w:color w:val="000000" w:themeColor="text1"/>
        </w:rPr>
        <w:t xml:space="preserve"> that facility is subject to Air District permitting requirements. </w:t>
      </w:r>
      <w:r w:rsidRPr="008313ED">
        <w:rPr>
          <w:rFonts w:asciiTheme="minorHAnsi" w:eastAsia="Segoe UI" w:hAnsiTheme="minorHAnsi" w:cs="Segoe UI"/>
          <w:color w:val="000000" w:themeColor="text1"/>
          <w:u w:val="single"/>
        </w:rPr>
        <w:t>(see HSC §§ 44340, 44342,44345).</w:t>
      </w:r>
    </w:p>
    <w:p w14:paraId="7EF32B5B" w14:textId="77777777" w:rsidR="00721D69" w:rsidRPr="008313ED" w:rsidRDefault="00721D69" w:rsidP="00721D69">
      <w:pPr>
        <w:pStyle w:val="NoSpacing"/>
        <w:rPr>
          <w:rFonts w:asciiTheme="minorHAnsi" w:eastAsia="Segoe UI" w:hAnsiTheme="minorHAnsi" w:cs="Segoe UI"/>
          <w:color w:val="000000" w:themeColor="text1"/>
        </w:rPr>
      </w:pPr>
    </w:p>
    <w:p w14:paraId="654F6CD2" w14:textId="5DE824B5" w:rsidR="00DD71AF" w:rsidRPr="008313ED" w:rsidRDefault="5608A243" w:rsidP="00721D69">
      <w:pPr>
        <w:pStyle w:val="NoSpacing"/>
        <w:rPr>
          <w:rFonts w:asciiTheme="minorHAnsi" w:eastAsia="Avenir Next LT Pro" w:hAnsiTheme="minorHAnsi" w:cs="Avenir Next LT Pro"/>
          <w:color w:val="000000" w:themeColor="text1"/>
        </w:rPr>
      </w:pPr>
      <w:r w:rsidRPr="008313ED">
        <w:rPr>
          <w:rFonts w:asciiTheme="minorHAnsi" w:eastAsia="Segoe UI" w:hAnsiTheme="minorHAnsi" w:cs="Segoe UI"/>
          <w:color w:val="000000" w:themeColor="text1"/>
        </w:rPr>
        <w:t xml:space="preserve">Facilities exempt </w:t>
      </w:r>
      <w:r w:rsidR="005D6302" w:rsidRPr="008313ED">
        <w:rPr>
          <w:rFonts w:asciiTheme="minorHAnsi" w:eastAsia="Segoe UI" w:hAnsiTheme="minorHAnsi" w:cs="Segoe UI"/>
          <w:color w:val="000000" w:themeColor="text1"/>
        </w:rPr>
        <w:t>from</w:t>
      </w:r>
      <w:r w:rsidRPr="008313ED">
        <w:rPr>
          <w:rFonts w:asciiTheme="minorHAnsi" w:eastAsia="Segoe UI" w:hAnsiTheme="minorHAnsi" w:cs="Segoe UI"/>
          <w:color w:val="000000" w:themeColor="text1"/>
        </w:rPr>
        <w:t xml:space="preserve"> the reporting requirements must either have a prioritization score of 1.0 or less, for both cancer and non-cancer; and/or risk assessment values less than 1 in a million for cancer, and less than 0.1 for non-cancer Hazard Index. </w:t>
      </w:r>
      <w:r w:rsidRPr="008313ED">
        <w:rPr>
          <w:rFonts w:asciiTheme="minorHAnsi" w:eastAsia="Avenir Next LT Pro" w:hAnsiTheme="minorHAnsi" w:cs="Avenir Next LT Pro"/>
          <w:color w:val="000000" w:themeColor="text1"/>
        </w:rPr>
        <w:t xml:space="preserve">Most districts have permitted facilities within their jurisdiction that do not meet the exemption criteria and, therefore, will report emissions under this program.  </w:t>
      </w:r>
    </w:p>
    <w:p w14:paraId="2FCD1FA8" w14:textId="77777777" w:rsidR="00721D69" w:rsidRPr="008313ED" w:rsidRDefault="00721D69" w:rsidP="00721D69">
      <w:pPr>
        <w:pStyle w:val="NoSpacing"/>
        <w:rPr>
          <w:rFonts w:asciiTheme="minorHAnsi" w:eastAsia="Avenir Next LT Pro" w:hAnsiTheme="minorHAnsi" w:cs="Avenir Next LT Pro"/>
          <w:color w:val="000000" w:themeColor="text1"/>
        </w:rPr>
      </w:pPr>
    </w:p>
    <w:p w14:paraId="213F8E87" w14:textId="0D61B6BC" w:rsidR="00DD71AF" w:rsidRPr="008313ED" w:rsidRDefault="5608A243" w:rsidP="00721D69">
      <w:pPr>
        <w:pStyle w:val="NoSpacing"/>
        <w:rPr>
          <w:rFonts w:asciiTheme="minorHAnsi" w:eastAsia="Segoe UI" w:hAnsiTheme="minorHAnsi" w:cs="Segoe UI"/>
          <w:b/>
          <w:color w:val="0F4761"/>
        </w:rPr>
      </w:pPr>
      <w:r w:rsidRPr="008313ED">
        <w:rPr>
          <w:rFonts w:asciiTheme="minorHAnsi" w:eastAsia="Segoe UI" w:hAnsiTheme="minorHAnsi" w:cs="Segoe UI"/>
          <w:i/>
          <w:iCs/>
          <w:color w:val="0078D4"/>
          <w:u w:val="single"/>
        </w:rPr>
        <w:t>Air District Annual Reports</w:t>
      </w:r>
      <w:r w:rsidRPr="008313ED">
        <w:rPr>
          <w:rFonts w:asciiTheme="minorHAnsi" w:eastAsia="Segoe UI" w:hAnsiTheme="minorHAnsi" w:cs="Segoe UI"/>
          <w:color w:val="0F4761"/>
        </w:rPr>
        <w:t> </w:t>
      </w:r>
    </w:p>
    <w:p w14:paraId="2ED9CCB6" w14:textId="5BCDF63F" w:rsidR="00DD71AF" w:rsidRPr="008313ED" w:rsidRDefault="5608A243" w:rsidP="00721D69">
      <w:pPr>
        <w:pStyle w:val="NoSpacing"/>
        <w:rPr>
          <w:rFonts w:asciiTheme="minorHAnsi" w:eastAsia="Segoe UI" w:hAnsiTheme="minorHAnsi" w:cs="Segoe UI"/>
          <w:color w:val="000000" w:themeColor="text1"/>
        </w:rPr>
      </w:pPr>
      <w:r w:rsidRPr="008313ED">
        <w:rPr>
          <w:rFonts w:asciiTheme="minorHAnsi" w:eastAsia="Segoe UI" w:hAnsiTheme="minorHAnsi" w:cs="Segoe UI"/>
          <w:color w:val="000000" w:themeColor="text1"/>
        </w:rPr>
        <w:t xml:space="preserve">In addition, under HSC §44363(a), districts are required to publish an </w:t>
      </w:r>
      <w:r w:rsidRPr="008313ED">
        <w:rPr>
          <w:rFonts w:asciiTheme="minorHAnsi" w:eastAsia="Segoe UI" w:hAnsiTheme="minorHAnsi" w:cs="Segoe UI"/>
          <w:i/>
          <w:iCs/>
          <w:color w:val="000000" w:themeColor="text1"/>
        </w:rPr>
        <w:t>annual report</w:t>
      </w:r>
      <w:r w:rsidRPr="008313ED">
        <w:rPr>
          <w:rFonts w:asciiTheme="minorHAnsi" w:eastAsia="Segoe UI" w:hAnsiTheme="minorHAnsi" w:cs="Segoe UI"/>
          <w:color w:val="000000" w:themeColor="text1"/>
        </w:rPr>
        <w:t>, covering their annual program implementation status. This annual update status report is intended to address (but is not limited to) implementation activities, rank and identify facilities according to the degree of cancer risk posed to  individuals and/or to the exposed population, identify facilities which expose individuals or populations to any noncancer health risks, summarize the results and progress of the health risk assessments, and describe the status of the development of control measures to reduce emission of toxic air contaminants.</w:t>
      </w:r>
      <w:r w:rsidRPr="008313ED">
        <w:rPr>
          <w:rFonts w:asciiTheme="minorHAnsi" w:eastAsia="Arial" w:hAnsiTheme="minorHAnsi" w:cs="Arial"/>
          <w:color w:val="000000" w:themeColor="text1"/>
        </w:rPr>
        <w:t> </w:t>
      </w:r>
      <w:r w:rsidRPr="008313ED">
        <w:rPr>
          <w:rFonts w:asciiTheme="minorHAnsi" w:eastAsia="Segoe UI" w:hAnsiTheme="minorHAnsi" w:cs="Segoe UI"/>
          <w:color w:val="000000" w:themeColor="text1"/>
        </w:rPr>
        <w:t xml:space="preserve"> Under HSC §44363(b), the districts must disseminate the annual report to specified entities including county boards of supervisors, city councils and others. Districts generally publish these district "annual reports" on their website each year. </w:t>
      </w:r>
    </w:p>
    <w:p w14:paraId="368219CC" w14:textId="77777777" w:rsidR="00721D69" w:rsidRPr="008313ED" w:rsidRDefault="00721D69" w:rsidP="00721D69">
      <w:pPr>
        <w:pStyle w:val="NoSpacing"/>
        <w:rPr>
          <w:rFonts w:asciiTheme="minorHAnsi" w:eastAsia="Segoe UI" w:hAnsiTheme="minorHAnsi" w:cs="Segoe UI"/>
          <w:color w:val="000000" w:themeColor="text1"/>
        </w:rPr>
      </w:pPr>
    </w:p>
    <w:p w14:paraId="0A4F3FCA" w14:textId="26B02516" w:rsidR="00DD71AF" w:rsidRPr="008313ED" w:rsidRDefault="5608A243" w:rsidP="00721D69">
      <w:pPr>
        <w:pStyle w:val="NoSpacing"/>
        <w:rPr>
          <w:rFonts w:asciiTheme="minorHAnsi" w:eastAsia="Segoe UI" w:hAnsiTheme="minorHAnsi" w:cs="Segoe UI"/>
          <w:color w:val="000000" w:themeColor="text1"/>
        </w:rPr>
      </w:pPr>
      <w:r w:rsidRPr="008313ED">
        <w:rPr>
          <w:rFonts w:asciiTheme="minorHAnsi" w:eastAsia="Segoe UI" w:hAnsiTheme="minorHAnsi" w:cs="Segoe UI"/>
          <w:color w:val="000000" w:themeColor="text1"/>
        </w:rPr>
        <w:t xml:space="preserve">HSC §44363 does not limit the coverage to only high priority facilities. </w:t>
      </w:r>
    </w:p>
    <w:p w14:paraId="4CFFE416" w14:textId="55AF3EA8" w:rsidR="00DD71AF" w:rsidRPr="008313ED" w:rsidRDefault="5608A243" w:rsidP="7D8546FC">
      <w:pPr>
        <w:rPr>
          <w:rFonts w:asciiTheme="minorHAnsi" w:eastAsia="Segoe UI" w:hAnsiTheme="minorHAnsi" w:cs="Segoe UI"/>
          <w:color w:val="000000" w:themeColor="text1"/>
        </w:rPr>
      </w:pPr>
      <w:r w:rsidRPr="008313ED">
        <w:rPr>
          <w:rFonts w:asciiTheme="minorHAnsi" w:eastAsia="Segoe UI" w:hAnsiTheme="minorHAnsi" w:cs="Segoe UI"/>
          <w:color w:val="000000" w:themeColor="text1"/>
        </w:rPr>
        <w:t> </w:t>
      </w:r>
    </w:p>
    <w:p w14:paraId="34957BDE" w14:textId="7BECF1D1" w:rsidR="00DD71AF" w:rsidRPr="008313ED" w:rsidRDefault="5608A243" w:rsidP="00E605A3">
      <w:pPr>
        <w:pStyle w:val="Heading3"/>
        <w:rPr>
          <w:rFonts w:asciiTheme="minorHAnsi" w:eastAsia="Segoe UI" w:hAnsiTheme="minorHAnsi"/>
        </w:rPr>
      </w:pPr>
      <w:bookmarkStart w:id="10" w:name="_Toc187305847"/>
      <w:r w:rsidRPr="008313ED">
        <w:rPr>
          <w:rFonts w:asciiTheme="minorHAnsi" w:eastAsia="Segoe UI" w:hAnsiTheme="minorHAnsi"/>
        </w:rPr>
        <w:t>When does a district need to reevaluate a facility’s prioritization score, for both on-going facilities and previously exempt facilities?</w:t>
      </w:r>
      <w:bookmarkEnd w:id="10"/>
      <w:r w:rsidRPr="008313ED">
        <w:rPr>
          <w:rFonts w:asciiTheme="minorHAnsi" w:eastAsia="Segoe UI" w:hAnsiTheme="minorHAnsi"/>
        </w:rPr>
        <w:t xml:space="preserve"> </w:t>
      </w:r>
    </w:p>
    <w:p w14:paraId="4F5DE646" w14:textId="63634FCD" w:rsidR="00DD71AF" w:rsidRPr="008313ED" w:rsidRDefault="5608A243" w:rsidP="00E605A3">
      <w:pPr>
        <w:pStyle w:val="NoSpacing"/>
        <w:rPr>
          <w:rFonts w:asciiTheme="minorHAnsi" w:hAnsiTheme="minorHAnsi"/>
        </w:rPr>
      </w:pPr>
      <w:r w:rsidRPr="008313ED">
        <w:rPr>
          <w:rStyle w:val="normaltextrun"/>
          <w:rFonts w:asciiTheme="minorHAnsi" w:eastAsia="Segoe UI" w:hAnsiTheme="minorHAnsi" w:cs="Segoe UI"/>
          <w:color w:val="000000" w:themeColor="text1"/>
        </w:rPr>
        <w:t>California HSC §44344.6 requires that a district shall redetermine a facility’s prioritization score</w:t>
      </w:r>
      <w:r w:rsidR="003C0007" w:rsidRPr="008313ED">
        <w:rPr>
          <w:rStyle w:val="FootnoteReference"/>
          <w:rFonts w:asciiTheme="minorHAnsi" w:eastAsia="Segoe UI" w:hAnsiTheme="minorHAnsi" w:cs="Segoe UI"/>
          <w:color w:val="000000" w:themeColor="text1"/>
        </w:rPr>
        <w:footnoteReference w:id="2"/>
      </w:r>
      <w:r w:rsidRPr="008313ED">
        <w:rPr>
          <w:rStyle w:val="normaltextrun"/>
          <w:rFonts w:asciiTheme="minorHAnsi" w:eastAsia="Segoe UI" w:hAnsiTheme="minorHAnsi" w:cs="Segoe UI"/>
          <w:color w:val="000000" w:themeColor="text1"/>
        </w:rPr>
        <w:t xml:space="preserve"> within 90 days of receiving a quadrennial emission inventory update from facilities that are on-going in the AB 2588 “Hot Spots” program, and within 90 days of receiving an emission inventory update from facilities that had been previously exempted and become subject again under the provisions of HSC §44344.7.</w:t>
      </w:r>
    </w:p>
    <w:p w14:paraId="3AD32663" w14:textId="77777777" w:rsidR="00F46C70" w:rsidRPr="008313ED" w:rsidRDefault="00F46C70" w:rsidP="00E605A3">
      <w:pPr>
        <w:pStyle w:val="NoSpacing"/>
        <w:rPr>
          <w:rFonts w:asciiTheme="minorHAnsi" w:hAnsiTheme="minorHAnsi"/>
        </w:rPr>
      </w:pPr>
    </w:p>
    <w:p w14:paraId="22E82272" w14:textId="4275C353" w:rsidR="00DD71AF" w:rsidRPr="008313ED" w:rsidRDefault="5608A243" w:rsidP="00E605A3">
      <w:pPr>
        <w:pStyle w:val="NoSpacing"/>
        <w:rPr>
          <w:rFonts w:asciiTheme="minorHAnsi" w:hAnsiTheme="minorHAnsi"/>
        </w:rPr>
      </w:pPr>
      <w:r w:rsidRPr="008313ED">
        <w:rPr>
          <w:rFonts w:asciiTheme="minorHAnsi" w:hAnsiTheme="minorHAnsi"/>
        </w:rPr>
        <w:t xml:space="preserve">HSC §44344.7 outlines factors that are required to be considered for emission inventory updates from previously exempt facilities. It also includes rules for district assessment and determining whether changes pose a significant risk or not. </w:t>
      </w:r>
    </w:p>
    <w:p w14:paraId="7C44C26E" w14:textId="77777777" w:rsidR="00F46C70" w:rsidRPr="008313ED" w:rsidRDefault="00F46C70" w:rsidP="00E605A3">
      <w:pPr>
        <w:pStyle w:val="NoSpacing"/>
        <w:rPr>
          <w:rStyle w:val="normaltextrun"/>
          <w:rFonts w:asciiTheme="minorHAnsi" w:eastAsia="Segoe UI" w:hAnsiTheme="minorHAnsi" w:cs="Segoe UI"/>
          <w:color w:val="000000" w:themeColor="text1"/>
        </w:rPr>
      </w:pPr>
    </w:p>
    <w:p w14:paraId="1EECA1E1" w14:textId="517478A2" w:rsidR="00DD71AF" w:rsidRPr="008313ED" w:rsidRDefault="5608A243" w:rsidP="00E605A3">
      <w:pPr>
        <w:pStyle w:val="NoSpacing"/>
        <w:rPr>
          <w:rFonts w:asciiTheme="minorHAnsi" w:hAnsiTheme="minorHAnsi"/>
        </w:rPr>
      </w:pPr>
      <w:r w:rsidRPr="008313ED">
        <w:rPr>
          <w:rStyle w:val="normaltextrun"/>
          <w:rFonts w:asciiTheme="minorHAnsi" w:eastAsia="Segoe UI" w:hAnsiTheme="minorHAnsi" w:cs="Segoe UI"/>
          <w:color w:val="000000" w:themeColor="text1"/>
        </w:rPr>
        <w:t>HSC §44344.7 specifies the following changes in the facility or activities that warrant re-evaluation if the facility: </w:t>
      </w:r>
    </w:p>
    <w:p w14:paraId="5B5B7271" w14:textId="0EC5B738" w:rsidR="00DD71AF" w:rsidRPr="008313ED" w:rsidRDefault="5608A243" w:rsidP="00F46C70">
      <w:pPr>
        <w:pStyle w:val="NoSpacing"/>
        <w:numPr>
          <w:ilvl w:val="0"/>
          <w:numId w:val="52"/>
        </w:numPr>
        <w:rPr>
          <w:rFonts w:asciiTheme="minorHAnsi" w:eastAsia="Verdana" w:hAnsiTheme="minorHAnsi" w:cs="Verdana"/>
        </w:rPr>
      </w:pPr>
      <w:r w:rsidRPr="008313ED">
        <w:rPr>
          <w:rStyle w:val="normaltextrun"/>
          <w:rFonts w:asciiTheme="minorHAnsi" w:eastAsia="Verdana" w:hAnsiTheme="minorHAnsi" w:cs="Verdana"/>
          <w:color w:val="000000" w:themeColor="text1"/>
        </w:rPr>
        <w:t xml:space="preserve">Emits a substance that was recently added to </w:t>
      </w:r>
      <w:hyperlink r:id="rId18">
        <w:r w:rsidRPr="008313ED">
          <w:rPr>
            <w:rStyle w:val="Hyperlink"/>
            <w:rFonts w:asciiTheme="minorHAnsi" w:eastAsia="Verdana" w:hAnsiTheme="minorHAnsi" w:cs="Verdana"/>
            <w:color w:val="467886"/>
            <w:u w:val="single"/>
          </w:rPr>
          <w:t>Appendix A</w:t>
        </w:r>
      </w:hyperlink>
      <w:r w:rsidRPr="008313ED">
        <w:rPr>
          <w:rStyle w:val="eop"/>
          <w:rFonts w:asciiTheme="minorHAnsi" w:eastAsia="Verdana" w:hAnsiTheme="minorHAnsi" w:cs="Verdana"/>
          <w:color w:val="000000" w:themeColor="text1"/>
        </w:rPr>
        <w:t> </w:t>
      </w:r>
    </w:p>
    <w:p w14:paraId="508E643D" w14:textId="04FE5E87" w:rsidR="00DD71AF" w:rsidRPr="008313ED" w:rsidRDefault="5608A243" w:rsidP="00F46C70">
      <w:pPr>
        <w:pStyle w:val="NoSpacing"/>
        <w:numPr>
          <w:ilvl w:val="0"/>
          <w:numId w:val="52"/>
        </w:numPr>
        <w:rPr>
          <w:rFonts w:asciiTheme="minorHAnsi" w:eastAsia="Verdana" w:hAnsiTheme="minorHAnsi" w:cs="Verdana"/>
        </w:rPr>
      </w:pPr>
      <w:r w:rsidRPr="008313ED">
        <w:rPr>
          <w:rStyle w:val="normaltextrun"/>
          <w:rFonts w:asciiTheme="minorHAnsi" w:eastAsia="Verdana" w:hAnsiTheme="minorHAnsi" w:cs="Verdana"/>
          <w:color w:val="000000" w:themeColor="text1"/>
        </w:rPr>
        <w:t>Has a new receptor established within 500 meters of the facility </w:t>
      </w:r>
    </w:p>
    <w:p w14:paraId="6B33C317" w14:textId="2FC002B6" w:rsidR="00DD71AF" w:rsidRPr="008313ED" w:rsidRDefault="5608A243" w:rsidP="00F46C70">
      <w:pPr>
        <w:pStyle w:val="NoSpacing"/>
        <w:numPr>
          <w:ilvl w:val="0"/>
          <w:numId w:val="52"/>
        </w:numPr>
        <w:rPr>
          <w:rFonts w:asciiTheme="minorHAnsi" w:eastAsia="Verdana" w:hAnsiTheme="minorHAnsi" w:cs="Verdana"/>
        </w:rPr>
      </w:pPr>
      <w:r w:rsidRPr="008313ED">
        <w:rPr>
          <w:rStyle w:val="normaltextrun"/>
          <w:rFonts w:asciiTheme="minorHAnsi" w:eastAsia="Verdana" w:hAnsiTheme="minorHAnsi" w:cs="Verdana"/>
          <w:color w:val="000000" w:themeColor="text1"/>
        </w:rPr>
        <w:t>Emits a substance for which the potency factor has increased </w:t>
      </w:r>
    </w:p>
    <w:p w14:paraId="70038E57" w14:textId="0AB33B9D" w:rsidR="00DD71AF" w:rsidRPr="008313ED" w:rsidRDefault="5608A243" w:rsidP="00F46C70">
      <w:pPr>
        <w:pStyle w:val="NoSpacing"/>
        <w:numPr>
          <w:ilvl w:val="0"/>
          <w:numId w:val="52"/>
        </w:numPr>
        <w:rPr>
          <w:rFonts w:asciiTheme="minorHAnsi" w:eastAsia="Verdana" w:hAnsiTheme="minorHAnsi" w:cs="Verdana"/>
        </w:rPr>
      </w:pPr>
      <w:r w:rsidRPr="008313ED">
        <w:rPr>
          <w:rStyle w:val="normaltextrun"/>
          <w:rFonts w:asciiTheme="minorHAnsi" w:eastAsia="Verdana" w:hAnsiTheme="minorHAnsi" w:cs="Verdana"/>
          <w:color w:val="000000" w:themeColor="text1"/>
        </w:rPr>
        <w:t xml:space="preserve">Has now begun emitting a substance listed in </w:t>
      </w:r>
      <w:hyperlink r:id="rId19">
        <w:r w:rsidRPr="008313ED">
          <w:rPr>
            <w:rStyle w:val="Hyperlink"/>
            <w:rFonts w:asciiTheme="minorHAnsi" w:eastAsia="Verdana" w:hAnsiTheme="minorHAnsi" w:cs="Verdana"/>
            <w:color w:val="467886"/>
            <w:u w:val="single"/>
          </w:rPr>
          <w:t>Appendix A</w:t>
        </w:r>
      </w:hyperlink>
      <w:r w:rsidRPr="008313ED">
        <w:rPr>
          <w:rStyle w:val="eop"/>
          <w:rFonts w:asciiTheme="minorHAnsi" w:eastAsia="Verdana" w:hAnsiTheme="minorHAnsi" w:cs="Verdana"/>
          <w:color w:val="000000" w:themeColor="text1"/>
        </w:rPr>
        <w:t> </w:t>
      </w:r>
    </w:p>
    <w:p w14:paraId="1B40AEEA" w14:textId="5F3F66D1" w:rsidR="00DD71AF" w:rsidRPr="008313ED" w:rsidRDefault="5608A243" w:rsidP="00F46C70">
      <w:pPr>
        <w:pStyle w:val="NoSpacing"/>
        <w:numPr>
          <w:ilvl w:val="0"/>
          <w:numId w:val="52"/>
        </w:numPr>
        <w:rPr>
          <w:rFonts w:asciiTheme="minorHAnsi" w:eastAsia="Verdana" w:hAnsiTheme="minorHAnsi" w:cs="Verdana"/>
        </w:rPr>
      </w:pPr>
      <w:r w:rsidRPr="008313ED">
        <w:rPr>
          <w:rStyle w:val="normaltextrun"/>
          <w:rFonts w:asciiTheme="minorHAnsi" w:eastAsia="Verdana" w:hAnsiTheme="minorHAnsi" w:cs="Verdana"/>
          <w:color w:val="000000" w:themeColor="text1"/>
        </w:rPr>
        <w:t>Has increased its emissions of a substance in excess of 100 percent of the previously reported level </w:t>
      </w:r>
    </w:p>
    <w:p w14:paraId="5E76121F" w14:textId="77777777" w:rsidR="00071367" w:rsidRPr="008313ED" w:rsidRDefault="00071367" w:rsidP="00E605A3">
      <w:pPr>
        <w:pStyle w:val="NoSpacing"/>
        <w:rPr>
          <w:rStyle w:val="normaltextrun"/>
          <w:rFonts w:asciiTheme="minorHAnsi" w:eastAsia="Segoe UI" w:hAnsiTheme="minorHAnsi" w:cs="Segoe UI"/>
          <w:color w:val="000000" w:themeColor="text1"/>
        </w:rPr>
      </w:pPr>
    </w:p>
    <w:p w14:paraId="0805E618" w14:textId="19B27E63" w:rsidR="00DD71AF" w:rsidRPr="008313ED" w:rsidRDefault="5608A243" w:rsidP="00E605A3">
      <w:pPr>
        <w:pStyle w:val="NoSpacing"/>
        <w:rPr>
          <w:rFonts w:asciiTheme="minorHAnsi" w:hAnsiTheme="minorHAnsi"/>
        </w:rPr>
      </w:pPr>
      <w:r w:rsidRPr="008313ED">
        <w:rPr>
          <w:rStyle w:val="normaltextrun"/>
          <w:rFonts w:asciiTheme="minorHAnsi" w:eastAsia="Segoe UI" w:hAnsiTheme="minorHAnsi" w:cs="Segoe UI"/>
          <w:color w:val="000000" w:themeColor="text1"/>
        </w:rPr>
        <w:t xml:space="preserve">In addition, HSC §44344.7 allows a district to determine if changes “will not result in a significant </w:t>
      </w:r>
      <w:r w:rsidR="001E55B8" w:rsidRPr="008313ED">
        <w:rPr>
          <w:rStyle w:val="normaltextrun"/>
          <w:rFonts w:asciiTheme="minorHAnsi" w:eastAsia="Segoe UI" w:hAnsiTheme="minorHAnsi" w:cs="Segoe UI"/>
          <w:color w:val="000000" w:themeColor="text1"/>
        </w:rPr>
        <w:t>risk</w:t>
      </w:r>
      <w:r w:rsidR="00E026B1" w:rsidRPr="008313ED">
        <w:rPr>
          <w:rStyle w:val="normaltextrun"/>
          <w:rFonts w:asciiTheme="minorHAnsi" w:eastAsia="Segoe UI" w:hAnsiTheme="minorHAnsi" w:cs="Segoe UI"/>
          <w:color w:val="000000" w:themeColor="text1"/>
        </w:rPr>
        <w:t>”</w:t>
      </w:r>
      <w:r w:rsidR="001E55B8" w:rsidRPr="008313ED">
        <w:rPr>
          <w:rStyle w:val="normaltextrun"/>
          <w:rFonts w:asciiTheme="minorHAnsi" w:eastAsia="Segoe UI" w:hAnsiTheme="minorHAnsi" w:cs="Segoe UI"/>
          <w:color w:val="000000" w:themeColor="text1"/>
        </w:rPr>
        <w:t>.</w:t>
      </w:r>
      <w:r w:rsidRPr="008313ED">
        <w:rPr>
          <w:rStyle w:val="normaltextrun"/>
          <w:rFonts w:asciiTheme="minorHAnsi" w:eastAsia="Segoe UI" w:hAnsiTheme="minorHAnsi" w:cs="Segoe UI"/>
          <w:color w:val="000000" w:themeColor="text1"/>
        </w:rPr>
        <w:t xml:space="preserve">  Because there are many ways that changes could result in a significant risk, CARB’s EICG Section IV.F outlines rules for redesignation and lists factors to evaluate whether a facility poses no significant risk to public health.  For example, EICG Section IV.F. states that a facility can be exempted from further reporting and moved to a lower update category only if it shows the district and CARB that specific criteria are met. These criteria include:</w:t>
      </w:r>
    </w:p>
    <w:p w14:paraId="51F5860F" w14:textId="77777777" w:rsidR="00071367" w:rsidRPr="008313ED" w:rsidRDefault="00071367" w:rsidP="00E605A3">
      <w:pPr>
        <w:pStyle w:val="NoSpacing"/>
        <w:rPr>
          <w:rFonts w:asciiTheme="minorHAnsi" w:hAnsiTheme="minorHAnsi"/>
        </w:rPr>
      </w:pPr>
    </w:p>
    <w:p w14:paraId="7A5C6B63" w14:textId="121FB717" w:rsidR="00DD71AF" w:rsidRPr="008313ED" w:rsidRDefault="5608A243" w:rsidP="00447B15">
      <w:pPr>
        <w:pStyle w:val="NoSpacing"/>
        <w:numPr>
          <w:ilvl w:val="0"/>
          <w:numId w:val="53"/>
        </w:numPr>
        <w:rPr>
          <w:rFonts w:asciiTheme="minorHAnsi" w:hAnsiTheme="minorHAnsi"/>
        </w:rPr>
      </w:pPr>
      <w:r w:rsidRPr="008313ED">
        <w:rPr>
          <w:rFonts w:asciiTheme="minorHAnsi" w:hAnsiTheme="minorHAnsi"/>
        </w:rPr>
        <w:t>Providing updated emission inventory results that meet the EICG's requirements.</w:t>
      </w:r>
    </w:p>
    <w:p w14:paraId="2D34596F" w14:textId="08AE1C49" w:rsidR="00721D69" w:rsidRPr="008313ED" w:rsidRDefault="5608A243" w:rsidP="00447B15">
      <w:pPr>
        <w:pStyle w:val="NoSpacing"/>
        <w:numPr>
          <w:ilvl w:val="0"/>
          <w:numId w:val="53"/>
        </w:numPr>
        <w:rPr>
          <w:rFonts w:asciiTheme="minorHAnsi" w:hAnsiTheme="minorHAnsi"/>
        </w:rPr>
      </w:pPr>
      <w:r w:rsidRPr="008313ED">
        <w:rPr>
          <w:rFonts w:asciiTheme="minorHAnsi" w:hAnsiTheme="minorHAnsi"/>
        </w:rPr>
        <w:t>Demonstrating that the facility does not pose a significant risk to public health based on the updated emission inventory.</w:t>
      </w:r>
    </w:p>
    <w:p w14:paraId="10B1A321" w14:textId="77777777" w:rsidR="00AD2657" w:rsidRPr="008313ED" w:rsidRDefault="00AD2657" w:rsidP="00E605A3">
      <w:pPr>
        <w:pStyle w:val="NoSpacing"/>
        <w:rPr>
          <w:rFonts w:asciiTheme="minorHAnsi" w:hAnsiTheme="minorHAnsi"/>
        </w:rPr>
      </w:pPr>
    </w:p>
    <w:p w14:paraId="54FC95DC" w14:textId="074C2EF2" w:rsidR="00DD71AF" w:rsidRPr="008313ED" w:rsidRDefault="5608A243" w:rsidP="00E605A3">
      <w:pPr>
        <w:pStyle w:val="NoSpacing"/>
        <w:rPr>
          <w:rFonts w:asciiTheme="minorHAnsi" w:hAnsiTheme="minorHAnsi"/>
        </w:rPr>
      </w:pPr>
      <w:r w:rsidRPr="008313ED">
        <w:rPr>
          <w:rFonts w:asciiTheme="minorHAnsi" w:hAnsiTheme="minorHAnsi"/>
        </w:rPr>
        <w:t>EICG also lists changes a district may consider when determining if a facility poses no significant risk to the public. This includes:</w:t>
      </w:r>
    </w:p>
    <w:p w14:paraId="1E58AA7C" w14:textId="05430BEE" w:rsidR="00DD71AF" w:rsidRPr="008313ED" w:rsidRDefault="5608A243" w:rsidP="001E55B8">
      <w:pPr>
        <w:pStyle w:val="NoSpacing"/>
        <w:numPr>
          <w:ilvl w:val="0"/>
          <w:numId w:val="54"/>
        </w:numPr>
        <w:rPr>
          <w:rFonts w:asciiTheme="minorHAnsi" w:eastAsia="Verdana" w:hAnsiTheme="minorHAnsi" w:cs="Verdana"/>
        </w:rPr>
      </w:pPr>
      <w:r w:rsidRPr="008313ED">
        <w:rPr>
          <w:rStyle w:val="normaltextrun"/>
          <w:rFonts w:asciiTheme="minorHAnsi" w:eastAsia="Verdana" w:hAnsiTheme="minorHAnsi" w:cs="Verdana"/>
          <w:color w:val="000000" w:themeColor="text1"/>
        </w:rPr>
        <w:t>Emissions quantification methods </w:t>
      </w:r>
    </w:p>
    <w:p w14:paraId="321EAEB9" w14:textId="065D7F75" w:rsidR="00DD71AF" w:rsidRPr="008313ED" w:rsidRDefault="5608A243" w:rsidP="001E55B8">
      <w:pPr>
        <w:pStyle w:val="NoSpacing"/>
        <w:numPr>
          <w:ilvl w:val="0"/>
          <w:numId w:val="54"/>
        </w:numPr>
        <w:rPr>
          <w:rFonts w:asciiTheme="minorHAnsi" w:eastAsia="Verdana" w:hAnsiTheme="minorHAnsi" w:cs="Verdana"/>
        </w:rPr>
      </w:pPr>
      <w:r w:rsidRPr="008313ED">
        <w:rPr>
          <w:rStyle w:val="normaltextrun"/>
          <w:rFonts w:asciiTheme="minorHAnsi" w:eastAsia="Verdana" w:hAnsiTheme="minorHAnsi" w:cs="Verdana"/>
          <w:color w:val="000000" w:themeColor="text1"/>
        </w:rPr>
        <w:t>Dispersion modeling methods </w:t>
      </w:r>
    </w:p>
    <w:p w14:paraId="58F7499B" w14:textId="250FDA8F" w:rsidR="00DD71AF" w:rsidRPr="008313ED" w:rsidRDefault="5608A243" w:rsidP="001E55B8">
      <w:pPr>
        <w:pStyle w:val="NoSpacing"/>
        <w:numPr>
          <w:ilvl w:val="0"/>
          <w:numId w:val="54"/>
        </w:numPr>
        <w:rPr>
          <w:rFonts w:asciiTheme="minorHAnsi" w:eastAsia="Verdana" w:hAnsiTheme="minorHAnsi" w:cs="Verdana"/>
        </w:rPr>
      </w:pPr>
      <w:r w:rsidRPr="008313ED">
        <w:rPr>
          <w:rStyle w:val="normaltextrun"/>
          <w:rFonts w:asciiTheme="minorHAnsi" w:eastAsia="Verdana" w:hAnsiTheme="minorHAnsi" w:cs="Verdana"/>
          <w:color w:val="000000" w:themeColor="text1"/>
        </w:rPr>
        <w:t>Risk assessment methods </w:t>
      </w:r>
    </w:p>
    <w:p w14:paraId="083EBC89" w14:textId="13D776EA" w:rsidR="00DD71AF" w:rsidRPr="008313ED" w:rsidRDefault="5608A243" w:rsidP="001E55B8">
      <w:pPr>
        <w:pStyle w:val="NoSpacing"/>
        <w:numPr>
          <w:ilvl w:val="0"/>
          <w:numId w:val="54"/>
        </w:numPr>
        <w:rPr>
          <w:rFonts w:asciiTheme="minorHAnsi" w:eastAsia="Verdana" w:hAnsiTheme="minorHAnsi" w:cs="Verdana"/>
        </w:rPr>
      </w:pPr>
      <w:r w:rsidRPr="008313ED">
        <w:rPr>
          <w:rStyle w:val="normaltextrun"/>
          <w:rFonts w:asciiTheme="minorHAnsi" w:eastAsia="Verdana" w:hAnsiTheme="minorHAnsi" w:cs="Verdana"/>
          <w:color w:val="000000" w:themeColor="text1"/>
        </w:rPr>
        <w:t>Any other hazard evaluation methods </w:t>
      </w:r>
    </w:p>
    <w:p w14:paraId="73F56620" w14:textId="2E384E9C" w:rsidR="00DD71AF" w:rsidRPr="008313ED" w:rsidRDefault="5608A243" w:rsidP="001E55B8">
      <w:pPr>
        <w:pStyle w:val="NoSpacing"/>
        <w:numPr>
          <w:ilvl w:val="0"/>
          <w:numId w:val="54"/>
        </w:numPr>
        <w:rPr>
          <w:rFonts w:asciiTheme="minorHAnsi" w:eastAsia="Verdana" w:hAnsiTheme="minorHAnsi" w:cs="Verdana"/>
        </w:rPr>
      </w:pPr>
      <w:r w:rsidRPr="008313ED">
        <w:rPr>
          <w:rStyle w:val="normaltextrun"/>
          <w:rFonts w:asciiTheme="minorHAnsi" w:eastAsia="Verdana" w:hAnsiTheme="minorHAnsi" w:cs="Verdana"/>
          <w:color w:val="000000" w:themeColor="text1"/>
        </w:rPr>
        <w:t>Building parameters that may affect downwash effects </w:t>
      </w:r>
    </w:p>
    <w:p w14:paraId="19C6BDF1" w14:textId="61C10A00" w:rsidR="00DD71AF" w:rsidRPr="008313ED" w:rsidRDefault="5608A243" w:rsidP="001E55B8">
      <w:pPr>
        <w:pStyle w:val="NoSpacing"/>
        <w:numPr>
          <w:ilvl w:val="0"/>
          <w:numId w:val="54"/>
        </w:numPr>
        <w:rPr>
          <w:rFonts w:asciiTheme="minorHAnsi" w:eastAsia="Verdana" w:hAnsiTheme="minorHAnsi" w:cs="Verdana"/>
        </w:rPr>
      </w:pPr>
      <w:r w:rsidRPr="008313ED">
        <w:rPr>
          <w:rStyle w:val="normaltextrun"/>
          <w:rFonts w:asciiTheme="minorHAnsi" w:eastAsia="Verdana" w:hAnsiTheme="minorHAnsi" w:cs="Verdana"/>
          <w:color w:val="000000" w:themeColor="text1"/>
        </w:rPr>
        <w:t>Population-wide impact assessment (as opposed to only maximum point estimates of risk) </w:t>
      </w:r>
    </w:p>
    <w:p w14:paraId="696977F4" w14:textId="242AC35B" w:rsidR="00DD71AF" w:rsidRPr="008313ED" w:rsidRDefault="5608A243" w:rsidP="001E55B8">
      <w:pPr>
        <w:pStyle w:val="NoSpacing"/>
        <w:numPr>
          <w:ilvl w:val="0"/>
          <w:numId w:val="54"/>
        </w:numPr>
        <w:rPr>
          <w:rFonts w:asciiTheme="minorHAnsi" w:eastAsia="Verdana" w:hAnsiTheme="minorHAnsi" w:cs="Verdana"/>
        </w:rPr>
      </w:pPr>
      <w:r w:rsidRPr="008313ED">
        <w:rPr>
          <w:rStyle w:val="normaltextrun"/>
          <w:rFonts w:asciiTheme="minorHAnsi" w:eastAsia="Verdana" w:hAnsiTheme="minorHAnsi" w:cs="Verdana"/>
          <w:color w:val="000000" w:themeColor="text1"/>
        </w:rPr>
        <w:t>Considering the facility’s risk individually or in combination with other facilities </w:t>
      </w:r>
    </w:p>
    <w:p w14:paraId="59C0710E" w14:textId="132C5EC0" w:rsidR="00DD71AF" w:rsidRPr="008313ED" w:rsidRDefault="5608A243" w:rsidP="001E55B8">
      <w:pPr>
        <w:pStyle w:val="NoSpacing"/>
        <w:numPr>
          <w:ilvl w:val="0"/>
          <w:numId w:val="54"/>
        </w:numPr>
        <w:rPr>
          <w:rFonts w:asciiTheme="minorHAnsi" w:eastAsia="Verdana" w:hAnsiTheme="minorHAnsi" w:cs="Verdana"/>
        </w:rPr>
      </w:pPr>
      <w:r w:rsidRPr="008313ED">
        <w:rPr>
          <w:rStyle w:val="normaltextrun"/>
          <w:rFonts w:asciiTheme="minorHAnsi" w:eastAsia="Verdana" w:hAnsiTheme="minorHAnsi" w:cs="Verdana"/>
          <w:color w:val="000000" w:themeColor="text1"/>
        </w:rPr>
        <w:t xml:space="preserve">Additional properties of concern including persistence and </w:t>
      </w:r>
      <w:proofErr w:type="spellStart"/>
      <w:r w:rsidRPr="008313ED">
        <w:rPr>
          <w:rStyle w:val="normaltextrun"/>
          <w:rFonts w:asciiTheme="minorHAnsi" w:eastAsia="Verdana" w:hAnsiTheme="minorHAnsi" w:cs="Verdana"/>
          <w:color w:val="000000" w:themeColor="text1"/>
        </w:rPr>
        <w:t>bioaccumulative</w:t>
      </w:r>
      <w:proofErr w:type="spellEnd"/>
      <w:r w:rsidRPr="008313ED">
        <w:rPr>
          <w:rStyle w:val="normaltextrun"/>
          <w:rFonts w:asciiTheme="minorHAnsi" w:eastAsia="Verdana" w:hAnsiTheme="minorHAnsi" w:cs="Verdana"/>
          <w:color w:val="000000" w:themeColor="text1"/>
        </w:rPr>
        <w:t xml:space="preserve"> properties </w:t>
      </w:r>
    </w:p>
    <w:p w14:paraId="536D17E6" w14:textId="4BBB28C0" w:rsidR="00DD71AF" w:rsidRPr="008313ED" w:rsidRDefault="5608A243" w:rsidP="001E55B8">
      <w:pPr>
        <w:pStyle w:val="NoSpacing"/>
        <w:numPr>
          <w:ilvl w:val="0"/>
          <w:numId w:val="54"/>
        </w:numPr>
        <w:rPr>
          <w:rFonts w:asciiTheme="minorHAnsi" w:eastAsia="Verdana" w:hAnsiTheme="minorHAnsi" w:cs="Verdana"/>
        </w:rPr>
      </w:pPr>
      <w:r w:rsidRPr="008313ED">
        <w:rPr>
          <w:rStyle w:val="normaltextrun"/>
          <w:rFonts w:asciiTheme="minorHAnsi" w:eastAsia="Verdana" w:hAnsiTheme="minorHAnsi" w:cs="Verdana"/>
          <w:color w:val="000000" w:themeColor="text1"/>
        </w:rPr>
        <w:t xml:space="preserve">Potential for non-inhalation, multipath way exposures to contribute greater risk (such as through deposition from the air and subsequent exposure via soil, dermal, homegrown produce, and other routes of exposure) </w:t>
      </w:r>
    </w:p>
    <w:p w14:paraId="6C45D95E" w14:textId="77777777" w:rsidR="00AD2657" w:rsidRPr="008313ED" w:rsidRDefault="00AD2657" w:rsidP="001E55B8">
      <w:pPr>
        <w:pStyle w:val="NoSpacing"/>
        <w:rPr>
          <w:rStyle w:val="eop"/>
          <w:rFonts w:asciiTheme="minorHAnsi" w:eastAsia="Segoe UI" w:hAnsiTheme="minorHAnsi" w:cs="Segoe UI"/>
          <w:color w:val="000000" w:themeColor="text1"/>
        </w:rPr>
      </w:pPr>
    </w:p>
    <w:p w14:paraId="6697E487" w14:textId="09CBD8B9" w:rsidR="00DD71AF" w:rsidRPr="008313ED" w:rsidRDefault="5608A243" w:rsidP="001E55B8">
      <w:pPr>
        <w:pStyle w:val="NoSpacing"/>
        <w:rPr>
          <w:rFonts w:asciiTheme="minorHAnsi" w:hAnsiTheme="minorHAnsi"/>
        </w:rPr>
      </w:pPr>
      <w:r w:rsidRPr="008313ED">
        <w:rPr>
          <w:rStyle w:val="eop"/>
          <w:rFonts w:asciiTheme="minorHAnsi" w:eastAsia="Segoe UI" w:hAnsiTheme="minorHAnsi" w:cs="Segoe UI"/>
          <w:color w:val="000000" w:themeColor="text1"/>
        </w:rPr>
        <w:t xml:space="preserve">These and many contributors to risk are discussed in the OEHHA risk assessment guidance manual for the AB 2588 Air Toxics Hot Spots program.  The latest OEHHA risk assessment activity regarding the AB 2588 program, including the latest OEHHA “Air Toxics Hot Spots Program Guidance Manual” can be found linked from this </w:t>
      </w:r>
      <w:hyperlink r:id="rId20">
        <w:r w:rsidRPr="008313ED">
          <w:rPr>
            <w:rStyle w:val="Hyperlink"/>
            <w:rFonts w:asciiTheme="minorHAnsi" w:eastAsia="Segoe UI" w:hAnsiTheme="minorHAnsi" w:cs="Segoe UI"/>
          </w:rPr>
          <w:t>OEHHA  webpage</w:t>
        </w:r>
      </w:hyperlink>
      <w:r w:rsidRPr="008313ED">
        <w:rPr>
          <w:rStyle w:val="eop"/>
          <w:rFonts w:asciiTheme="minorHAnsi" w:eastAsia="Segoe UI" w:hAnsiTheme="minorHAnsi" w:cs="Segoe UI"/>
          <w:color w:val="000000" w:themeColor="text1"/>
        </w:rPr>
        <w:t xml:space="preserve">. </w:t>
      </w:r>
    </w:p>
    <w:p w14:paraId="5A35287B" w14:textId="00697FED" w:rsidR="00DD71AF" w:rsidRPr="008313ED" w:rsidRDefault="5608A243" w:rsidP="00721D69">
      <w:pPr>
        <w:pStyle w:val="Heading3"/>
        <w:rPr>
          <w:rFonts w:asciiTheme="minorHAnsi" w:eastAsia="Segoe UI" w:hAnsiTheme="minorHAnsi"/>
        </w:rPr>
      </w:pPr>
      <w:bookmarkStart w:id="11" w:name="_Toc187305848"/>
      <w:r w:rsidRPr="008313ED">
        <w:rPr>
          <w:rStyle w:val="Heading3Char"/>
          <w:rFonts w:asciiTheme="minorHAnsi" w:eastAsia="Segoe UI" w:hAnsiTheme="minorHAnsi" w:cs="Segoe UI"/>
          <w:b/>
          <w:bCs/>
          <w:color w:val="0F4761"/>
          <w:szCs w:val="28"/>
        </w:rPr>
        <w:t>What should be reflected in Air Districts’ prioritization calculation methodologies?</w:t>
      </w:r>
      <w:bookmarkEnd w:id="11"/>
      <w:r w:rsidRPr="008313ED">
        <w:rPr>
          <w:rStyle w:val="Heading3Char"/>
          <w:rFonts w:asciiTheme="minorHAnsi" w:eastAsia="Segoe UI" w:hAnsiTheme="minorHAnsi" w:cs="Segoe UI"/>
          <w:b/>
          <w:bCs/>
          <w:color w:val="0F4761"/>
          <w:szCs w:val="28"/>
        </w:rPr>
        <w:t xml:space="preserve"> </w:t>
      </w:r>
    </w:p>
    <w:p w14:paraId="3938CA75" w14:textId="7BDC2272" w:rsidR="00DD71AF" w:rsidRPr="008313ED" w:rsidRDefault="5608A243" w:rsidP="00721D69">
      <w:pPr>
        <w:pStyle w:val="NoSpacing"/>
        <w:rPr>
          <w:rStyle w:val="normaltextrun"/>
          <w:rFonts w:asciiTheme="minorHAnsi" w:eastAsia="Segoe UI" w:hAnsiTheme="minorHAnsi" w:cs="Segoe UI"/>
          <w:color w:val="000000" w:themeColor="text1"/>
        </w:rPr>
      </w:pPr>
      <w:r w:rsidRPr="008313ED">
        <w:rPr>
          <w:rStyle w:val="normaltextrun"/>
          <w:rFonts w:asciiTheme="minorHAnsi" w:eastAsia="Segoe UI" w:hAnsiTheme="minorHAnsi" w:cs="Segoe UI"/>
          <w:color w:val="000000" w:themeColor="text1"/>
        </w:rPr>
        <w:t>If an air district has not re-evaluated their prioritization calculation methodology since the inception of the program, there are many changes and advancements that should be considered in their risk prioritization calculation methodology.</w:t>
      </w:r>
    </w:p>
    <w:p w14:paraId="56259CA2" w14:textId="77777777" w:rsidR="001E55B8" w:rsidRPr="008313ED" w:rsidRDefault="001E55B8" w:rsidP="00721D69">
      <w:pPr>
        <w:pStyle w:val="NoSpacing"/>
        <w:rPr>
          <w:rFonts w:asciiTheme="minorHAnsi" w:hAnsiTheme="minorHAnsi"/>
        </w:rPr>
      </w:pPr>
    </w:p>
    <w:p w14:paraId="691BDF2B" w14:textId="2A31FF94" w:rsidR="00DD71AF" w:rsidRPr="008313ED" w:rsidRDefault="5608A243" w:rsidP="00721D69">
      <w:pPr>
        <w:pStyle w:val="NoSpacing"/>
        <w:rPr>
          <w:rStyle w:val="normaltextrun"/>
          <w:rFonts w:asciiTheme="minorHAnsi" w:eastAsia="Segoe UI" w:hAnsiTheme="minorHAnsi" w:cs="Segoe UI"/>
          <w:color w:val="000000" w:themeColor="text1"/>
        </w:rPr>
      </w:pPr>
      <w:r w:rsidRPr="008313ED">
        <w:rPr>
          <w:rStyle w:val="normaltextrun"/>
          <w:rFonts w:asciiTheme="minorHAnsi" w:eastAsia="Segoe UI" w:hAnsiTheme="minorHAnsi" w:cs="Segoe UI"/>
          <w:color w:val="000000" w:themeColor="text1"/>
        </w:rPr>
        <w:t xml:space="preserve">In August 2016, CAPCOA released updated </w:t>
      </w:r>
      <w:hyperlink r:id="rId21">
        <w:r w:rsidRPr="008313ED">
          <w:rPr>
            <w:rStyle w:val="Hyperlink"/>
            <w:rFonts w:asciiTheme="minorHAnsi" w:eastAsia="Segoe UI" w:hAnsiTheme="minorHAnsi" w:cs="Segoe UI"/>
            <w:color w:val="467886"/>
            <w:u w:val="single"/>
          </w:rPr>
          <w:t>Facility Prioritization Guidelines</w:t>
        </w:r>
      </w:hyperlink>
      <w:r w:rsidRPr="008313ED">
        <w:rPr>
          <w:rStyle w:val="normaltextrun"/>
          <w:rFonts w:asciiTheme="minorHAnsi" w:eastAsia="Segoe UI" w:hAnsiTheme="minorHAnsi" w:cs="Segoe UI"/>
          <w:color w:val="000000" w:themeColor="text1"/>
        </w:rPr>
        <w:t xml:space="preserve"> to incorporate the revised Office of Environmental Health Hazard Assessment (OEHHA) </w:t>
      </w:r>
      <w:hyperlink r:id="rId22">
        <w:r w:rsidRPr="008313ED">
          <w:rPr>
            <w:rStyle w:val="Hyperlink"/>
            <w:rFonts w:asciiTheme="minorHAnsi" w:eastAsia="Segoe UI" w:hAnsiTheme="minorHAnsi" w:cs="Segoe UI"/>
            <w:color w:val="467886"/>
            <w:u w:val="single"/>
          </w:rPr>
          <w:t>Air Toxics Hot Spots Program Guidance Manual for the Preparation of Risk Assessments</w:t>
        </w:r>
      </w:hyperlink>
      <w:r w:rsidRPr="008313ED">
        <w:rPr>
          <w:rStyle w:val="normaltextrun"/>
          <w:rFonts w:asciiTheme="minorHAnsi" w:eastAsia="Segoe UI" w:hAnsiTheme="minorHAnsi" w:cs="Segoe UI"/>
          <w:color w:val="000000" w:themeColor="text1"/>
        </w:rPr>
        <w:t xml:space="preserve"> (February 2015). The purpose for these updates was to incorporate the latest science and tools used for the analysis of toxic substances in terms of dispersion in the environment and health risks associated with human exposure, particularly the recognition of the substantially greater risks due to childhood/early life exposures (than previously understood). It is important to be consistent with the latest OEHHA risk provisions, to ensure that prioritizing of facilities and their subsequent risk assessments fully comply with the requirements stated in the AB 2588 Statute that risk assessments must follow approved OEHHA risk assessment procedures. The 2016 CAPCOA Facility Prioritization Guidelines have new normalization constants in the calculation formulas to properly reflect the OEHHA childhood risk inclusion and be adequately health protective.</w:t>
      </w:r>
    </w:p>
    <w:p w14:paraId="59E44B2D" w14:textId="77777777" w:rsidR="00721D69" w:rsidRPr="008313ED" w:rsidRDefault="00721D69" w:rsidP="00721D69">
      <w:pPr>
        <w:pStyle w:val="NoSpacing"/>
        <w:rPr>
          <w:rFonts w:asciiTheme="minorHAnsi" w:hAnsiTheme="minorHAnsi"/>
        </w:rPr>
      </w:pPr>
    </w:p>
    <w:p w14:paraId="213B0F92" w14:textId="35514DC4" w:rsidR="00DD71AF" w:rsidRPr="008313ED" w:rsidRDefault="5608A243" w:rsidP="00721D69">
      <w:pPr>
        <w:pStyle w:val="NoSpacing"/>
        <w:rPr>
          <w:rFonts w:asciiTheme="minorHAnsi" w:hAnsiTheme="minorHAnsi"/>
        </w:rPr>
      </w:pPr>
      <w:r w:rsidRPr="008313ED">
        <w:rPr>
          <w:rStyle w:val="normaltextrun"/>
          <w:rFonts w:asciiTheme="minorHAnsi" w:eastAsia="Segoe UI" w:hAnsiTheme="minorHAnsi" w:cs="Segoe UI"/>
          <w:color w:val="000000" w:themeColor="text1"/>
        </w:rPr>
        <w:t xml:space="preserve">In addition, </w:t>
      </w:r>
      <w:hyperlink r:id="rId23">
        <w:r w:rsidRPr="008313ED">
          <w:rPr>
            <w:rStyle w:val="Hyperlink"/>
            <w:rFonts w:asciiTheme="minorHAnsi" w:eastAsia="Segoe UI" w:hAnsiTheme="minorHAnsi" w:cs="Segoe UI"/>
          </w:rPr>
          <w:t>new health values developed by OEHHA</w:t>
        </w:r>
      </w:hyperlink>
      <w:r w:rsidRPr="008313ED">
        <w:rPr>
          <w:rStyle w:val="normaltextrun"/>
          <w:rFonts w:asciiTheme="minorHAnsi" w:eastAsia="Segoe UI" w:hAnsiTheme="minorHAnsi" w:cs="Segoe UI"/>
          <w:color w:val="000000" w:themeColor="text1"/>
        </w:rPr>
        <w:t xml:space="preserve"> and the expansion of the </w:t>
      </w:r>
      <w:hyperlink r:id="rId24">
        <w:r w:rsidRPr="008313ED">
          <w:rPr>
            <w:rStyle w:val="Hyperlink"/>
            <w:rFonts w:asciiTheme="minorHAnsi" w:eastAsia="Segoe UI" w:hAnsiTheme="minorHAnsi" w:cs="Segoe UI"/>
          </w:rPr>
          <w:t>Appendix A list of toxic chemicals</w:t>
        </w:r>
      </w:hyperlink>
      <w:r w:rsidRPr="008313ED">
        <w:rPr>
          <w:rFonts w:asciiTheme="minorHAnsi" w:hAnsiTheme="minorHAnsi"/>
        </w:rPr>
        <w:t xml:space="preserve"> require more chemicals to be inventoried and analyzed as part of the HRA. These additional chemicals should be included in the facility’s prioritization score. </w:t>
      </w:r>
    </w:p>
    <w:p w14:paraId="537C993C" w14:textId="19D254F6" w:rsidR="00DD71AF" w:rsidRPr="008313ED" w:rsidRDefault="5608A243" w:rsidP="00721D69">
      <w:pPr>
        <w:pStyle w:val="NoSpacing"/>
        <w:rPr>
          <w:rFonts w:asciiTheme="minorHAnsi" w:hAnsiTheme="minorHAnsi"/>
        </w:rPr>
      </w:pPr>
      <w:r w:rsidRPr="008313ED">
        <w:rPr>
          <w:rStyle w:val="normaltextrun"/>
          <w:rFonts w:asciiTheme="minorHAnsi" w:eastAsia="Segoe UI" w:hAnsiTheme="minorHAnsi" w:cs="Segoe UI"/>
          <w:color w:val="000000" w:themeColor="text1"/>
        </w:rPr>
        <w:t>Districts may develop their own variations on the CAPCOA facility prioritization methodologies, provided these maintain equivalent public health protection and state of science. For instance, Districts may adopt procedures that include adjustments to prioritization scores based on other factors, such as: </w:t>
      </w:r>
    </w:p>
    <w:p w14:paraId="40099AB2" w14:textId="4B0B06A3" w:rsidR="00DD71AF" w:rsidRPr="008313ED" w:rsidRDefault="5608A243" w:rsidP="00E605A3">
      <w:pPr>
        <w:pStyle w:val="NoSpacing"/>
        <w:numPr>
          <w:ilvl w:val="0"/>
          <w:numId w:val="51"/>
        </w:numPr>
        <w:rPr>
          <w:rFonts w:asciiTheme="minorHAnsi" w:eastAsia="Verdana" w:hAnsiTheme="minorHAnsi" w:cs="Verdana"/>
        </w:rPr>
      </w:pPr>
      <w:r w:rsidRPr="008313ED">
        <w:rPr>
          <w:rStyle w:val="normaltextrun"/>
          <w:rFonts w:asciiTheme="minorHAnsi" w:eastAsia="Verdana" w:hAnsiTheme="minorHAnsi" w:cs="Verdana"/>
          <w:color w:val="000000" w:themeColor="text1"/>
        </w:rPr>
        <w:t>Recent HRA/Risk Reduction activities for a particular facility </w:t>
      </w:r>
    </w:p>
    <w:p w14:paraId="0E3B3992" w14:textId="2064340E" w:rsidR="00DD71AF" w:rsidRPr="008313ED" w:rsidRDefault="5608A243" w:rsidP="00E605A3">
      <w:pPr>
        <w:pStyle w:val="NoSpacing"/>
        <w:numPr>
          <w:ilvl w:val="0"/>
          <w:numId w:val="51"/>
        </w:numPr>
        <w:rPr>
          <w:rFonts w:asciiTheme="minorHAnsi" w:eastAsia="Verdana" w:hAnsiTheme="minorHAnsi" w:cs="Verdana"/>
        </w:rPr>
      </w:pPr>
      <w:r w:rsidRPr="008313ED">
        <w:rPr>
          <w:rStyle w:val="normaltextrun"/>
          <w:rFonts w:asciiTheme="minorHAnsi" w:eastAsia="Verdana" w:hAnsiTheme="minorHAnsi" w:cs="Verdana"/>
          <w:color w:val="000000" w:themeColor="text1"/>
        </w:rPr>
        <w:t>Recent or upcoming implementation of other enforceable regulations that would reduce public health risk </w:t>
      </w:r>
    </w:p>
    <w:p w14:paraId="37CB95B7" w14:textId="6ED30349" w:rsidR="00DD71AF" w:rsidRPr="008313ED" w:rsidRDefault="5608A243" w:rsidP="00E605A3">
      <w:pPr>
        <w:pStyle w:val="NoSpacing"/>
        <w:numPr>
          <w:ilvl w:val="0"/>
          <w:numId w:val="51"/>
        </w:numPr>
        <w:rPr>
          <w:rFonts w:asciiTheme="minorHAnsi" w:eastAsia="Verdana" w:hAnsiTheme="minorHAnsi" w:cs="Verdana"/>
        </w:rPr>
      </w:pPr>
      <w:r w:rsidRPr="008313ED">
        <w:rPr>
          <w:rStyle w:val="normaltextrun"/>
          <w:rFonts w:asciiTheme="minorHAnsi" w:eastAsia="Verdana" w:hAnsiTheme="minorHAnsi" w:cs="Verdana"/>
          <w:color w:val="000000" w:themeColor="text1"/>
        </w:rPr>
        <w:t>Assessment of prioritization score assumptions relative to site-specific or facility-specific information </w:t>
      </w:r>
    </w:p>
    <w:p w14:paraId="36EBC4D3" w14:textId="5A988A53" w:rsidR="00DD71AF" w:rsidRPr="008313ED" w:rsidRDefault="5608A243" w:rsidP="00E605A3">
      <w:pPr>
        <w:pStyle w:val="NoSpacing"/>
        <w:numPr>
          <w:ilvl w:val="0"/>
          <w:numId w:val="51"/>
        </w:numPr>
        <w:rPr>
          <w:rFonts w:asciiTheme="minorHAnsi" w:eastAsia="Verdana" w:hAnsiTheme="minorHAnsi" w:cs="Verdana"/>
        </w:rPr>
      </w:pPr>
      <w:r w:rsidRPr="008313ED">
        <w:rPr>
          <w:rStyle w:val="normaltextrun"/>
          <w:rFonts w:asciiTheme="minorHAnsi" w:eastAsia="Verdana" w:hAnsiTheme="minorHAnsi" w:cs="Verdana"/>
          <w:color w:val="000000" w:themeColor="text1"/>
        </w:rPr>
        <w:t>Participation in voluntary risk reduction programs </w:t>
      </w:r>
    </w:p>
    <w:p w14:paraId="796E555C" w14:textId="03E6F76E" w:rsidR="00DD71AF" w:rsidRPr="008313ED" w:rsidRDefault="5608A243" w:rsidP="00E605A3">
      <w:pPr>
        <w:pStyle w:val="NoSpacing"/>
        <w:numPr>
          <w:ilvl w:val="0"/>
          <w:numId w:val="51"/>
        </w:numPr>
        <w:rPr>
          <w:rFonts w:asciiTheme="minorHAnsi" w:eastAsia="Verdana" w:hAnsiTheme="minorHAnsi" w:cs="Verdana"/>
        </w:rPr>
      </w:pPr>
      <w:r w:rsidRPr="008313ED">
        <w:rPr>
          <w:rStyle w:val="normaltextrun"/>
          <w:rFonts w:asciiTheme="minorHAnsi" w:eastAsia="Verdana" w:hAnsiTheme="minorHAnsi" w:cs="Verdana"/>
          <w:color w:val="000000" w:themeColor="text1"/>
        </w:rPr>
        <w:t>Data from ambient monitoring of air toxics </w:t>
      </w:r>
    </w:p>
    <w:p w14:paraId="3CC217F2" w14:textId="4B87E3A9" w:rsidR="00DD71AF" w:rsidRPr="008313ED" w:rsidRDefault="5608A243" w:rsidP="00E605A3">
      <w:pPr>
        <w:pStyle w:val="NoSpacing"/>
        <w:numPr>
          <w:ilvl w:val="0"/>
          <w:numId w:val="51"/>
        </w:numPr>
        <w:rPr>
          <w:rStyle w:val="normaltextrun"/>
          <w:rFonts w:asciiTheme="minorHAnsi" w:eastAsia="Verdana" w:hAnsiTheme="minorHAnsi" w:cs="Verdana"/>
        </w:rPr>
      </w:pPr>
      <w:r w:rsidRPr="008313ED">
        <w:rPr>
          <w:rStyle w:val="normaltextrun"/>
          <w:rFonts w:asciiTheme="minorHAnsi" w:eastAsia="Verdana" w:hAnsiTheme="minorHAnsi" w:cs="Verdana"/>
          <w:color w:val="000000" w:themeColor="text1"/>
        </w:rPr>
        <w:t>Additional parameters from OEHHA that can be used to calculate health risks, such as Cancer Potency Factors (with explicit inclusion of breathing rate, body weight, distributions, etc.), 8-hour Chronic Reference Exposure Levels, multipath way exposure factors, etc. </w:t>
      </w:r>
    </w:p>
    <w:p w14:paraId="488737E9" w14:textId="77777777" w:rsidR="001E55B8" w:rsidRPr="008313ED" w:rsidRDefault="001E55B8" w:rsidP="001E55B8">
      <w:pPr>
        <w:pStyle w:val="NoSpacing"/>
        <w:ind w:left="720"/>
        <w:rPr>
          <w:rFonts w:asciiTheme="minorHAnsi" w:eastAsia="Verdana" w:hAnsiTheme="minorHAnsi" w:cs="Verdana"/>
        </w:rPr>
      </w:pPr>
    </w:p>
    <w:p w14:paraId="7DB52873" w14:textId="185177E2" w:rsidR="00DD71AF" w:rsidRPr="008313ED" w:rsidRDefault="5608A243" w:rsidP="00721D69">
      <w:pPr>
        <w:pStyle w:val="NoSpacing"/>
        <w:rPr>
          <w:rFonts w:asciiTheme="minorHAnsi" w:hAnsiTheme="minorHAnsi"/>
        </w:rPr>
      </w:pPr>
      <w:r w:rsidRPr="008313ED">
        <w:rPr>
          <w:rStyle w:val="normaltextrun"/>
          <w:rFonts w:asciiTheme="minorHAnsi" w:eastAsia="Segoe UI" w:hAnsiTheme="minorHAnsi" w:cs="Segoe UI"/>
          <w:color w:val="000000" w:themeColor="text1"/>
        </w:rPr>
        <w:t>Because prioritization scores are intended to be a preliminary indicator of a facility’s potential risk, it is no longer sufficient to use the previous CAPCOA Facility Prioritization Guidelines, released in July 1990. Similarly, any air district methodology that was established prior to 2015 should be re-evaluated to ensure that the prioritization procedure is still the most health protective.</w:t>
      </w:r>
    </w:p>
    <w:p w14:paraId="05D37D6A" w14:textId="09962A6A" w:rsidR="00DD71AF" w:rsidRPr="008313ED" w:rsidRDefault="00DD71AF" w:rsidP="00DD71AF">
      <w:pPr>
        <w:pStyle w:val="NoSpacing"/>
        <w:rPr>
          <w:rFonts w:asciiTheme="minorHAnsi" w:hAnsiTheme="minorHAnsi"/>
        </w:rPr>
      </w:pPr>
    </w:p>
    <w:p w14:paraId="5CBB1687" w14:textId="77777777" w:rsidR="00210865" w:rsidRPr="008313ED" w:rsidRDefault="00210865" w:rsidP="00210865">
      <w:pPr>
        <w:pStyle w:val="Heading3"/>
        <w:rPr>
          <w:rFonts w:asciiTheme="minorHAnsi" w:hAnsiTheme="minorHAnsi"/>
        </w:rPr>
      </w:pPr>
      <w:bookmarkStart w:id="12" w:name="_Toc187305849"/>
      <w:r w:rsidRPr="008313ED">
        <w:rPr>
          <w:rFonts w:asciiTheme="minorHAnsi" w:hAnsiTheme="minorHAnsi"/>
        </w:rPr>
        <w:t>How</w:t>
      </w:r>
      <w:r w:rsidRPr="008313ED">
        <w:rPr>
          <w:rFonts w:asciiTheme="minorHAnsi" w:hAnsiTheme="minorHAnsi"/>
          <w:spacing w:val="1"/>
        </w:rPr>
        <w:t xml:space="preserve"> </w:t>
      </w:r>
      <w:r w:rsidRPr="008313ED">
        <w:rPr>
          <w:rFonts w:asciiTheme="minorHAnsi" w:hAnsiTheme="minorHAnsi"/>
        </w:rPr>
        <w:t>can</w:t>
      </w:r>
      <w:r w:rsidRPr="008313ED">
        <w:rPr>
          <w:rFonts w:asciiTheme="minorHAnsi" w:hAnsiTheme="minorHAnsi"/>
          <w:spacing w:val="-2"/>
        </w:rPr>
        <w:t xml:space="preserve"> </w:t>
      </w:r>
      <w:r w:rsidRPr="008313ED">
        <w:rPr>
          <w:rFonts w:asciiTheme="minorHAnsi" w:hAnsiTheme="minorHAnsi"/>
        </w:rPr>
        <w:t>I</w:t>
      </w:r>
      <w:r w:rsidRPr="008313ED">
        <w:rPr>
          <w:rFonts w:asciiTheme="minorHAnsi" w:hAnsiTheme="minorHAnsi"/>
          <w:spacing w:val="-3"/>
        </w:rPr>
        <w:t xml:space="preserve"> </w:t>
      </w:r>
      <w:r w:rsidRPr="008313ED">
        <w:rPr>
          <w:rFonts w:asciiTheme="minorHAnsi" w:hAnsiTheme="minorHAnsi"/>
        </w:rPr>
        <w:t>get</w:t>
      </w:r>
      <w:r w:rsidRPr="008313ED">
        <w:rPr>
          <w:rFonts w:asciiTheme="minorHAnsi" w:hAnsiTheme="minorHAnsi"/>
          <w:spacing w:val="-2"/>
        </w:rPr>
        <w:t xml:space="preserve"> </w:t>
      </w:r>
      <w:r w:rsidRPr="008313ED">
        <w:rPr>
          <w:rFonts w:asciiTheme="minorHAnsi" w:hAnsiTheme="minorHAnsi"/>
        </w:rPr>
        <w:t>more</w:t>
      </w:r>
      <w:r w:rsidRPr="008313ED">
        <w:rPr>
          <w:rFonts w:asciiTheme="minorHAnsi" w:hAnsiTheme="minorHAnsi"/>
          <w:spacing w:val="-3"/>
        </w:rPr>
        <w:t xml:space="preserve"> </w:t>
      </w:r>
      <w:r w:rsidRPr="008313ED">
        <w:rPr>
          <w:rFonts w:asciiTheme="minorHAnsi" w:hAnsiTheme="minorHAnsi"/>
        </w:rPr>
        <w:t>information</w:t>
      </w:r>
      <w:r w:rsidRPr="008313ED">
        <w:rPr>
          <w:rFonts w:asciiTheme="minorHAnsi" w:hAnsiTheme="minorHAnsi"/>
          <w:spacing w:val="-2"/>
        </w:rPr>
        <w:t xml:space="preserve"> </w:t>
      </w:r>
      <w:r w:rsidRPr="008313ED">
        <w:rPr>
          <w:rFonts w:asciiTheme="minorHAnsi" w:hAnsiTheme="minorHAnsi"/>
        </w:rPr>
        <w:t>about</w:t>
      </w:r>
      <w:r w:rsidRPr="008313ED">
        <w:rPr>
          <w:rFonts w:asciiTheme="minorHAnsi" w:hAnsiTheme="minorHAnsi"/>
          <w:spacing w:val="-2"/>
        </w:rPr>
        <w:t xml:space="preserve"> </w:t>
      </w:r>
      <w:r w:rsidRPr="008313ED">
        <w:rPr>
          <w:rFonts w:asciiTheme="minorHAnsi" w:hAnsiTheme="minorHAnsi"/>
        </w:rPr>
        <w:t>Hot Spots?</w:t>
      </w:r>
      <w:bookmarkEnd w:id="12"/>
    </w:p>
    <w:p w14:paraId="105C191B" w14:textId="48C7FF1E" w:rsidR="00D06904" w:rsidRPr="008313ED" w:rsidRDefault="00210865" w:rsidP="00210865">
      <w:pPr>
        <w:pStyle w:val="NoSpacing"/>
        <w:rPr>
          <w:rFonts w:asciiTheme="minorHAnsi" w:hAnsiTheme="minorHAnsi"/>
        </w:rPr>
      </w:pPr>
      <w:r w:rsidRPr="008313ED">
        <w:rPr>
          <w:rFonts w:asciiTheme="minorHAnsi" w:hAnsiTheme="minorHAnsi"/>
        </w:rPr>
        <w:t xml:space="preserve">General information about Hot Spots can be found </w:t>
      </w:r>
      <w:hyperlink r:id="rId25">
        <w:r w:rsidRPr="008313ED">
          <w:rPr>
            <w:rStyle w:val="Hyperlink"/>
            <w:rFonts w:asciiTheme="minorHAnsi" w:hAnsiTheme="minorHAnsi"/>
          </w:rPr>
          <w:t>here</w:t>
        </w:r>
      </w:hyperlink>
      <w:r w:rsidRPr="008313ED">
        <w:rPr>
          <w:rFonts w:asciiTheme="minorHAnsi" w:hAnsiTheme="minorHAnsi"/>
        </w:rPr>
        <w:t xml:space="preserve">. Sign up for our email list serve to receive updated information </w:t>
      </w:r>
      <w:hyperlink r:id="rId26">
        <w:r w:rsidRPr="008313ED">
          <w:rPr>
            <w:rStyle w:val="Hyperlink"/>
            <w:rFonts w:asciiTheme="minorHAnsi" w:hAnsiTheme="minorHAnsi"/>
          </w:rPr>
          <w:t>here</w:t>
        </w:r>
      </w:hyperlink>
      <w:r w:rsidRPr="008313ED">
        <w:rPr>
          <w:rFonts w:asciiTheme="minorHAnsi" w:hAnsiTheme="minorHAnsi"/>
        </w:rPr>
        <w:t>. CARB compiles emissions data for all facilities subject to Hot Spots.</w:t>
      </w:r>
      <w:r w:rsidRPr="008313ED">
        <w:rPr>
          <w:rFonts w:asciiTheme="minorHAnsi" w:hAnsiTheme="minorHAnsi"/>
          <w:spacing w:val="55"/>
        </w:rPr>
        <w:t xml:space="preserve"> </w:t>
      </w:r>
      <w:r w:rsidRPr="008313ED">
        <w:rPr>
          <w:rFonts w:asciiTheme="minorHAnsi" w:hAnsiTheme="minorHAnsi"/>
        </w:rPr>
        <w:t>This information is publicly</w:t>
      </w:r>
      <w:r w:rsidRPr="008313ED">
        <w:rPr>
          <w:rFonts w:asciiTheme="minorHAnsi" w:hAnsiTheme="minorHAnsi"/>
          <w:spacing w:val="1"/>
        </w:rPr>
        <w:t xml:space="preserve"> </w:t>
      </w:r>
      <w:r w:rsidRPr="008313ED">
        <w:rPr>
          <w:rFonts w:asciiTheme="minorHAnsi" w:hAnsiTheme="minorHAnsi"/>
        </w:rPr>
        <w:t xml:space="preserve">available on our </w:t>
      </w:r>
      <w:hyperlink r:id="rId27" w:history="1">
        <w:r w:rsidRPr="008313ED">
          <w:rPr>
            <w:rStyle w:val="Hyperlink"/>
            <w:rFonts w:asciiTheme="minorHAnsi" w:hAnsiTheme="minorHAnsi"/>
          </w:rPr>
          <w:t>Facility Search Tool</w:t>
        </w:r>
      </w:hyperlink>
      <w:r w:rsidRPr="008313ED">
        <w:rPr>
          <w:rFonts w:asciiTheme="minorHAnsi" w:hAnsiTheme="minorHAnsi"/>
        </w:rPr>
        <w:t xml:space="preserve">. </w:t>
      </w:r>
    </w:p>
    <w:p w14:paraId="3B930C5F" w14:textId="77777777" w:rsidR="00D06904" w:rsidRPr="008313ED" w:rsidRDefault="00D06904">
      <w:pPr>
        <w:rPr>
          <w:rFonts w:asciiTheme="minorHAnsi" w:hAnsiTheme="minorHAnsi"/>
        </w:rPr>
      </w:pPr>
      <w:r w:rsidRPr="008313ED">
        <w:rPr>
          <w:rFonts w:asciiTheme="minorHAnsi" w:hAnsiTheme="minorHAnsi"/>
        </w:rPr>
        <w:br w:type="page"/>
      </w:r>
    </w:p>
    <w:p w14:paraId="11326A35" w14:textId="57E1AC46" w:rsidR="00240684" w:rsidRPr="008313ED" w:rsidRDefault="6A79A0BF" w:rsidP="00DD71AF">
      <w:pPr>
        <w:pStyle w:val="Heading1"/>
        <w:rPr>
          <w:rFonts w:asciiTheme="minorHAnsi" w:hAnsiTheme="minorHAnsi"/>
        </w:rPr>
      </w:pPr>
      <w:bookmarkStart w:id="13" w:name="_Toc187305850"/>
      <w:r w:rsidRPr="008313ED">
        <w:rPr>
          <w:rFonts w:asciiTheme="minorHAnsi" w:hAnsiTheme="minorHAnsi"/>
        </w:rPr>
        <w:t>Facilit</w:t>
      </w:r>
      <w:r w:rsidR="2281D5BE" w:rsidRPr="008313ED">
        <w:rPr>
          <w:rFonts w:asciiTheme="minorHAnsi" w:hAnsiTheme="minorHAnsi"/>
        </w:rPr>
        <w:t>ies</w:t>
      </w:r>
      <w:r w:rsidRPr="008313ED">
        <w:rPr>
          <w:rFonts w:asciiTheme="minorHAnsi" w:hAnsiTheme="minorHAnsi"/>
        </w:rPr>
        <w:t>, Operators and Devices</w:t>
      </w:r>
      <w:bookmarkEnd w:id="13"/>
      <w:r w:rsidRPr="008313ED">
        <w:rPr>
          <w:rFonts w:asciiTheme="minorHAnsi" w:hAnsiTheme="minorHAnsi"/>
        </w:rPr>
        <w:t xml:space="preserve"> </w:t>
      </w:r>
    </w:p>
    <w:p w14:paraId="530B0C42" w14:textId="19908800" w:rsidR="00240684" w:rsidRPr="008313ED" w:rsidRDefault="6A79A0BF" w:rsidP="00DD71AF">
      <w:pPr>
        <w:pStyle w:val="Heading3"/>
        <w:rPr>
          <w:rFonts w:asciiTheme="minorHAnsi" w:hAnsiTheme="minorHAnsi"/>
        </w:rPr>
      </w:pPr>
      <w:bookmarkStart w:id="14" w:name="_Toc187305851"/>
      <w:r w:rsidRPr="008313ED">
        <w:rPr>
          <w:rFonts w:asciiTheme="minorHAnsi" w:hAnsiTheme="minorHAnsi"/>
        </w:rPr>
        <w:t xml:space="preserve">How does AB2588 </w:t>
      </w:r>
      <w:r w:rsidR="003F2F28" w:rsidRPr="008313ED">
        <w:rPr>
          <w:rFonts w:asciiTheme="minorHAnsi" w:hAnsiTheme="minorHAnsi"/>
        </w:rPr>
        <w:t>Hot Spots</w:t>
      </w:r>
      <w:r w:rsidRPr="008313ED">
        <w:rPr>
          <w:rFonts w:asciiTheme="minorHAnsi" w:hAnsiTheme="minorHAnsi"/>
        </w:rPr>
        <w:t xml:space="preserve"> Statute define “facility” and how is it intended to be used for the AB2588 </w:t>
      </w:r>
      <w:r w:rsidR="003F2F28" w:rsidRPr="008313ED">
        <w:rPr>
          <w:rFonts w:asciiTheme="minorHAnsi" w:hAnsiTheme="minorHAnsi"/>
        </w:rPr>
        <w:t>Hot Spots</w:t>
      </w:r>
      <w:r w:rsidRPr="008313ED">
        <w:rPr>
          <w:rFonts w:asciiTheme="minorHAnsi" w:hAnsiTheme="minorHAnsi"/>
        </w:rPr>
        <w:t xml:space="preserve"> program?</w:t>
      </w:r>
      <w:bookmarkEnd w:id="14"/>
    </w:p>
    <w:p w14:paraId="21A37CFF" w14:textId="1144DC94" w:rsidR="00240684" w:rsidRPr="008313ED" w:rsidRDefault="00240684" w:rsidP="00DD71AF">
      <w:pPr>
        <w:pStyle w:val="NoSpacing"/>
        <w:rPr>
          <w:rFonts w:asciiTheme="minorHAnsi" w:hAnsiTheme="minorHAnsi"/>
        </w:rPr>
      </w:pPr>
      <w:r w:rsidRPr="008313ED">
        <w:rPr>
          <w:rFonts w:asciiTheme="minorHAnsi" w:hAnsiTheme="minorHAnsi"/>
        </w:rPr>
        <w:t xml:space="preserve">For purposes of the AB2588 </w:t>
      </w:r>
      <w:r w:rsidR="003F2F28" w:rsidRPr="008313ED">
        <w:rPr>
          <w:rFonts w:asciiTheme="minorHAnsi" w:hAnsiTheme="minorHAnsi"/>
        </w:rPr>
        <w:t>Hot Spots</w:t>
      </w:r>
      <w:r w:rsidRPr="008313ED">
        <w:rPr>
          <w:rFonts w:asciiTheme="minorHAnsi" w:hAnsiTheme="minorHAnsi"/>
        </w:rPr>
        <w:t xml:space="preserve"> program, the Statute </w:t>
      </w:r>
      <w:r w:rsidR="00800D44" w:rsidRPr="008313ED">
        <w:rPr>
          <w:rFonts w:asciiTheme="minorHAnsi" w:hAnsiTheme="minorHAnsi"/>
        </w:rPr>
        <w:t>[</w:t>
      </w:r>
      <w:r w:rsidRPr="008313ED">
        <w:rPr>
          <w:rFonts w:asciiTheme="minorHAnsi" w:hAnsiTheme="minorHAnsi"/>
        </w:rPr>
        <w:t xml:space="preserve">Health and Safety Code </w:t>
      </w:r>
      <w:r w:rsidR="00800D44" w:rsidRPr="008313ED">
        <w:rPr>
          <w:rFonts w:asciiTheme="minorHAnsi" w:hAnsiTheme="minorHAnsi"/>
        </w:rPr>
        <w:t>(HSC)</w:t>
      </w:r>
      <w:r w:rsidRPr="008313ED">
        <w:rPr>
          <w:rFonts w:asciiTheme="minorHAnsi" w:hAnsiTheme="minorHAnsi"/>
        </w:rPr>
        <w:t xml:space="preserve"> </w:t>
      </w:r>
      <w:r w:rsidR="00C33DAE" w:rsidRPr="008313ED">
        <w:rPr>
          <w:rFonts w:asciiTheme="minorHAnsi" w:hAnsiTheme="minorHAnsi"/>
        </w:rPr>
        <w:t>§</w:t>
      </w:r>
      <w:r w:rsidRPr="008313ED">
        <w:rPr>
          <w:rFonts w:asciiTheme="minorHAnsi" w:hAnsiTheme="minorHAnsi"/>
        </w:rPr>
        <w:t>44304</w:t>
      </w:r>
      <w:r w:rsidR="00800D44" w:rsidRPr="008313ED">
        <w:rPr>
          <w:rFonts w:asciiTheme="minorHAnsi" w:hAnsiTheme="minorHAnsi"/>
        </w:rPr>
        <w:t>]</w:t>
      </w:r>
      <w:r w:rsidRPr="008313ED">
        <w:rPr>
          <w:rFonts w:asciiTheme="minorHAnsi" w:hAnsiTheme="minorHAnsi"/>
        </w:rPr>
        <w:t xml:space="preserve"> provides the following definition of “Facility”: </w:t>
      </w:r>
    </w:p>
    <w:p w14:paraId="17FF0EB1" w14:textId="77777777" w:rsidR="00240684" w:rsidRPr="008313ED" w:rsidRDefault="00240684" w:rsidP="00DD71AF">
      <w:pPr>
        <w:pStyle w:val="NoSpacing"/>
        <w:rPr>
          <w:rFonts w:asciiTheme="minorHAnsi" w:hAnsiTheme="minorHAnsi"/>
        </w:rPr>
      </w:pPr>
    </w:p>
    <w:p w14:paraId="2EE35DCA" w14:textId="77777777" w:rsidR="00240684" w:rsidRPr="008313ED" w:rsidRDefault="00240684" w:rsidP="00DD71AF">
      <w:pPr>
        <w:pStyle w:val="NoSpacing"/>
        <w:ind w:left="720"/>
        <w:rPr>
          <w:rFonts w:asciiTheme="minorHAnsi" w:hAnsiTheme="minorHAnsi"/>
          <w:i/>
          <w:iCs/>
        </w:rPr>
      </w:pPr>
      <w:r w:rsidRPr="008313ED">
        <w:rPr>
          <w:rFonts w:asciiTheme="minorHAnsi" w:hAnsiTheme="minorHAnsi"/>
          <w:i/>
          <w:iCs/>
        </w:rPr>
        <w:t>“Facility” means every structure, appurtenance, installation, and improvement on land which is associated with a source of air releases or potential air releases of a hazardous material.</w:t>
      </w:r>
    </w:p>
    <w:p w14:paraId="6391DEC7" w14:textId="77777777" w:rsidR="00240684" w:rsidRPr="008313ED" w:rsidRDefault="00240684" w:rsidP="00DD71AF">
      <w:pPr>
        <w:pStyle w:val="NoSpacing"/>
        <w:rPr>
          <w:rFonts w:asciiTheme="minorHAnsi" w:hAnsiTheme="minorHAnsi"/>
        </w:rPr>
      </w:pPr>
    </w:p>
    <w:p w14:paraId="6E1C74AC" w14:textId="4D84291D" w:rsidR="00240684" w:rsidRPr="008313ED" w:rsidRDefault="00240684" w:rsidP="00DD71AF">
      <w:pPr>
        <w:pStyle w:val="NoSpacing"/>
        <w:rPr>
          <w:rFonts w:asciiTheme="minorHAnsi" w:hAnsiTheme="minorHAnsi"/>
        </w:rPr>
      </w:pPr>
      <w:r w:rsidRPr="008313ED">
        <w:rPr>
          <w:rFonts w:asciiTheme="minorHAnsi" w:hAnsiTheme="minorHAnsi"/>
        </w:rPr>
        <w:t xml:space="preserve">The Statute’s definition makes clear the broad, encompassing nature of the applicability of the </w:t>
      </w:r>
      <w:r w:rsidR="003F2F28" w:rsidRPr="008313ED">
        <w:rPr>
          <w:rFonts w:asciiTheme="minorHAnsi" w:hAnsiTheme="minorHAnsi"/>
        </w:rPr>
        <w:t>Hot Spots</w:t>
      </w:r>
      <w:r w:rsidRPr="008313ED">
        <w:rPr>
          <w:rFonts w:asciiTheme="minorHAnsi" w:hAnsiTheme="minorHAnsi"/>
        </w:rPr>
        <w:t xml:space="preserve"> program.</w:t>
      </w:r>
      <w:r w:rsidR="00DD71AF" w:rsidRPr="008313ED">
        <w:rPr>
          <w:rFonts w:asciiTheme="minorHAnsi" w:hAnsiTheme="minorHAnsi"/>
        </w:rPr>
        <w:t xml:space="preserve"> </w:t>
      </w:r>
      <w:r w:rsidRPr="008313ED">
        <w:rPr>
          <w:rFonts w:asciiTheme="minorHAnsi" w:hAnsiTheme="minorHAnsi"/>
        </w:rPr>
        <w:t>As a practical matter for implementing the Statute’s provisions by the air pollution control and air quality management districts (districts) on stationary sources over which they have jurisdiction (e.g., not motor vehicles), the EICG</w:t>
      </w:r>
      <w:r w:rsidRPr="008313ED" w:rsidDel="003C7F3E">
        <w:rPr>
          <w:rFonts w:asciiTheme="minorHAnsi" w:hAnsiTheme="minorHAnsi"/>
        </w:rPr>
        <w:t xml:space="preserve"> </w:t>
      </w:r>
      <w:r w:rsidR="003C7F3E" w:rsidRPr="008313ED">
        <w:rPr>
          <w:rFonts w:asciiTheme="minorHAnsi" w:hAnsiTheme="minorHAnsi"/>
        </w:rPr>
        <w:t xml:space="preserve">Regulation </w:t>
      </w:r>
      <w:r w:rsidRPr="008313ED">
        <w:rPr>
          <w:rFonts w:asciiTheme="minorHAnsi" w:hAnsiTheme="minorHAnsi"/>
        </w:rPr>
        <w:t>adopted by CARB (as required by the AB2588 Statute) further defined the phrase “every structure, appurtenance, installation” in order to better align with the provisions already established by the U.S. EPA for “stationary sources” for New Source Review (NSR)</w:t>
      </w:r>
      <w:r w:rsidR="00DD71AF" w:rsidRPr="008313ED">
        <w:rPr>
          <w:rFonts w:asciiTheme="minorHAnsi" w:hAnsiTheme="minorHAnsi"/>
        </w:rPr>
        <w:t>.</w:t>
      </w:r>
    </w:p>
    <w:p w14:paraId="54B4D867" w14:textId="77777777" w:rsidR="00240684" w:rsidRPr="008313ED" w:rsidRDefault="00240684" w:rsidP="00DD71AF">
      <w:pPr>
        <w:pStyle w:val="NoSpacing"/>
        <w:rPr>
          <w:rFonts w:asciiTheme="minorHAnsi" w:hAnsiTheme="minorHAnsi"/>
        </w:rPr>
      </w:pPr>
    </w:p>
    <w:p w14:paraId="38DED33E" w14:textId="664D8F90" w:rsidR="00240684" w:rsidRPr="008313ED" w:rsidRDefault="00240684" w:rsidP="00DD71AF">
      <w:pPr>
        <w:pStyle w:val="NoSpacing"/>
        <w:rPr>
          <w:rFonts w:asciiTheme="minorHAnsi" w:hAnsiTheme="minorHAnsi"/>
        </w:rPr>
      </w:pPr>
      <w:r w:rsidRPr="008313ED">
        <w:rPr>
          <w:rFonts w:asciiTheme="minorHAnsi" w:hAnsiTheme="minorHAnsi"/>
        </w:rPr>
        <w:t>The EICG</w:t>
      </w:r>
      <w:r w:rsidRPr="008313ED" w:rsidDel="00BB2BDE">
        <w:rPr>
          <w:rFonts w:asciiTheme="minorHAnsi" w:hAnsiTheme="minorHAnsi"/>
        </w:rPr>
        <w:t xml:space="preserve"> </w:t>
      </w:r>
      <w:r w:rsidR="00BB2BDE" w:rsidRPr="008313ED">
        <w:rPr>
          <w:rFonts w:asciiTheme="minorHAnsi" w:hAnsiTheme="minorHAnsi"/>
        </w:rPr>
        <w:t xml:space="preserve">Regulation </w:t>
      </w:r>
      <w:r w:rsidRPr="008313ED">
        <w:rPr>
          <w:rFonts w:asciiTheme="minorHAnsi" w:hAnsiTheme="minorHAnsi"/>
        </w:rPr>
        <w:t xml:space="preserve">Section X </w:t>
      </w:r>
      <w:r w:rsidR="00DD71AF" w:rsidRPr="008313ED">
        <w:rPr>
          <w:rFonts w:asciiTheme="minorHAnsi" w:hAnsiTheme="minorHAnsi"/>
        </w:rPr>
        <w:t>d</w:t>
      </w:r>
      <w:r w:rsidRPr="008313ED">
        <w:rPr>
          <w:rFonts w:asciiTheme="minorHAnsi" w:hAnsiTheme="minorHAnsi"/>
        </w:rPr>
        <w:t xml:space="preserve">efinitions therefore </w:t>
      </w:r>
      <w:r w:rsidR="00DD71AF" w:rsidRPr="008313ED">
        <w:rPr>
          <w:rFonts w:asciiTheme="minorHAnsi" w:hAnsiTheme="minorHAnsi"/>
        </w:rPr>
        <w:t>contain</w:t>
      </w:r>
      <w:r w:rsidRPr="008313ED">
        <w:rPr>
          <w:rFonts w:asciiTheme="minorHAnsi" w:hAnsiTheme="minorHAnsi"/>
        </w:rPr>
        <w:t xml:space="preserve"> the following definition of “Facility” for AB2588 implementation purposes:</w:t>
      </w:r>
    </w:p>
    <w:p w14:paraId="575AB39C" w14:textId="77777777" w:rsidR="00240684" w:rsidRPr="008313ED" w:rsidRDefault="00240684" w:rsidP="00DD71AF">
      <w:pPr>
        <w:pStyle w:val="NoSpacing"/>
        <w:rPr>
          <w:rFonts w:asciiTheme="minorHAnsi" w:hAnsiTheme="minorHAnsi"/>
        </w:rPr>
      </w:pPr>
    </w:p>
    <w:p w14:paraId="4DA94974" w14:textId="6D99EF7B" w:rsidR="00240684" w:rsidRPr="008313ED" w:rsidRDefault="006F22F2" w:rsidP="00DD71AF">
      <w:pPr>
        <w:pStyle w:val="NoSpacing"/>
        <w:ind w:left="720"/>
        <w:rPr>
          <w:rFonts w:asciiTheme="minorHAnsi" w:eastAsia="Arial" w:hAnsiTheme="minorHAnsi" w:cs="Arial"/>
          <w:i/>
          <w:iCs/>
        </w:rPr>
      </w:pPr>
      <w:r w:rsidRPr="008313ED">
        <w:rPr>
          <w:rFonts w:asciiTheme="minorHAnsi" w:eastAsia="Arial" w:hAnsiTheme="minorHAnsi" w:cs="Arial"/>
          <w:i/>
          <w:iCs/>
        </w:rPr>
        <w:t>(</w:t>
      </w:r>
      <w:r w:rsidR="00240684" w:rsidRPr="008313ED">
        <w:rPr>
          <w:rFonts w:asciiTheme="minorHAnsi" w:eastAsia="Arial" w:hAnsiTheme="minorHAnsi" w:cs="Arial"/>
          <w:i/>
          <w:iCs/>
        </w:rPr>
        <w:t>14</w:t>
      </w:r>
      <w:r w:rsidRPr="008313ED">
        <w:rPr>
          <w:rFonts w:asciiTheme="minorHAnsi" w:eastAsia="Arial" w:hAnsiTheme="minorHAnsi" w:cs="Arial"/>
          <w:i/>
          <w:iCs/>
        </w:rPr>
        <w:t>)</w:t>
      </w:r>
      <w:r w:rsidR="00240684" w:rsidRPr="008313ED">
        <w:rPr>
          <w:rFonts w:asciiTheme="minorHAnsi" w:eastAsia="Arial" w:hAnsiTheme="minorHAnsi" w:cs="Arial"/>
          <w:i/>
          <w:iCs/>
        </w:rPr>
        <w:t xml:space="preserve"> </w:t>
      </w:r>
      <w:r w:rsidR="00240684" w:rsidRPr="008313ED">
        <w:rPr>
          <w:rFonts w:asciiTheme="minorHAnsi" w:eastAsia="Arial" w:hAnsiTheme="minorHAnsi" w:cs="Arial"/>
          <w:b/>
          <w:bCs/>
          <w:i/>
          <w:iCs/>
        </w:rPr>
        <w:t>"Facility"</w:t>
      </w:r>
      <w:r w:rsidR="00240684" w:rsidRPr="008313ED">
        <w:rPr>
          <w:rFonts w:asciiTheme="minorHAnsi" w:eastAsia="Arial" w:hAnsiTheme="minorHAnsi" w:cs="Arial"/>
          <w:i/>
          <w:iCs/>
        </w:rPr>
        <w:t xml:space="preserve"> means the same as defined in </w:t>
      </w:r>
      <w:r w:rsidR="00970C38" w:rsidRPr="008313ED">
        <w:rPr>
          <w:rFonts w:asciiTheme="minorHAnsi" w:eastAsia="Arial" w:hAnsiTheme="minorHAnsi" w:cs="Arial"/>
          <w:i/>
          <w:iCs/>
        </w:rPr>
        <w:t>HSC</w:t>
      </w:r>
      <w:r w:rsidR="00240684" w:rsidRPr="008313ED">
        <w:rPr>
          <w:rFonts w:asciiTheme="minorHAnsi" w:eastAsia="Arial" w:hAnsiTheme="minorHAnsi" w:cs="Arial"/>
          <w:i/>
          <w:iCs/>
        </w:rPr>
        <w:t xml:space="preserve"> </w:t>
      </w:r>
      <w:r w:rsidR="00970C38" w:rsidRPr="008313ED">
        <w:rPr>
          <w:rFonts w:asciiTheme="minorHAnsi" w:hAnsiTheme="minorHAnsi"/>
        </w:rPr>
        <w:t>§</w:t>
      </w:r>
      <w:r w:rsidR="00240684" w:rsidRPr="008313ED">
        <w:rPr>
          <w:rFonts w:asciiTheme="minorHAnsi" w:eastAsia="Arial" w:hAnsiTheme="minorHAnsi" w:cs="Arial"/>
          <w:i/>
          <w:iCs/>
        </w:rPr>
        <w:t xml:space="preserve">44304. "Facility" shall not include any motor vehicle as defined in </w:t>
      </w:r>
      <w:r w:rsidR="00265B35" w:rsidRPr="008313ED">
        <w:rPr>
          <w:rFonts w:asciiTheme="minorHAnsi" w:eastAsia="Arial" w:hAnsiTheme="minorHAnsi" w:cs="Arial"/>
          <w:i/>
          <w:iCs/>
        </w:rPr>
        <w:t>S</w:t>
      </w:r>
      <w:r w:rsidR="00240684" w:rsidRPr="008313ED">
        <w:rPr>
          <w:rFonts w:asciiTheme="minorHAnsi" w:eastAsia="Arial" w:hAnsiTheme="minorHAnsi" w:cs="Arial"/>
          <w:i/>
          <w:iCs/>
        </w:rPr>
        <w:t>ection 415 of the Vehicle Code.</w:t>
      </w:r>
    </w:p>
    <w:p w14:paraId="7273C28D" w14:textId="77777777" w:rsidR="00240684" w:rsidRPr="008313ED" w:rsidRDefault="00240684" w:rsidP="00DD71AF">
      <w:pPr>
        <w:pStyle w:val="NoSpacing"/>
        <w:rPr>
          <w:rFonts w:asciiTheme="minorHAnsi" w:eastAsia="Arial" w:hAnsiTheme="minorHAnsi" w:cs="Arial"/>
          <w:i/>
          <w:iCs/>
        </w:rPr>
      </w:pPr>
    </w:p>
    <w:p w14:paraId="5DFB8C23" w14:textId="21383614" w:rsidR="00240684" w:rsidRPr="008313ED" w:rsidRDefault="00240684" w:rsidP="00DD71AF">
      <w:pPr>
        <w:pStyle w:val="NoSpacing"/>
        <w:ind w:left="720"/>
        <w:rPr>
          <w:rFonts w:asciiTheme="minorHAnsi" w:eastAsia="Arial" w:hAnsiTheme="minorHAnsi" w:cs="Arial"/>
          <w:i/>
          <w:iCs/>
        </w:rPr>
      </w:pPr>
      <w:r w:rsidRPr="008313ED">
        <w:rPr>
          <w:rFonts w:asciiTheme="minorHAnsi" w:eastAsia="Arial" w:hAnsiTheme="minorHAnsi" w:cs="Arial"/>
          <w:i/>
          <w:iCs/>
        </w:rPr>
        <w:t xml:space="preserve">(a) Except for the oil production operations defined in </w:t>
      </w:r>
      <w:r w:rsidR="00265B35" w:rsidRPr="008313ED">
        <w:rPr>
          <w:rFonts w:asciiTheme="minorHAnsi" w:eastAsia="Arial" w:hAnsiTheme="minorHAnsi" w:cs="Arial"/>
          <w:i/>
          <w:iCs/>
        </w:rPr>
        <w:t>S</w:t>
      </w:r>
      <w:r w:rsidRPr="008313ED">
        <w:rPr>
          <w:rFonts w:asciiTheme="minorHAnsi" w:eastAsia="Arial" w:hAnsiTheme="minorHAnsi" w:cs="Arial"/>
          <w:i/>
          <w:iCs/>
        </w:rPr>
        <w:t>ection X.14(b), for purposes of this regulation, the phrase "every structure, appurtenance, installation" shall mean all equipment, buildings, and other stationary items, or aggregations thereof, (A) which are associated with a source of air emission or potential air emission of a listed substance; (B) which involve activities that belong to the same two-digit Standard Industrial Classification code, or are part of a common operation; (C) which are located on a single site or on contiguous or adjacent sites; and (D) which are under common ownership, operation, or control, or which are owned or operated by entities which are under common ownership, operation, or control.</w:t>
      </w:r>
    </w:p>
    <w:p w14:paraId="163C10BB" w14:textId="77777777" w:rsidR="00240684" w:rsidRPr="008313ED" w:rsidRDefault="00240684" w:rsidP="00DD71AF">
      <w:pPr>
        <w:pStyle w:val="NoSpacing"/>
        <w:rPr>
          <w:rFonts w:asciiTheme="minorHAnsi" w:eastAsia="Arial" w:hAnsiTheme="minorHAnsi" w:cs="Arial"/>
          <w:i/>
          <w:iCs/>
        </w:rPr>
      </w:pPr>
    </w:p>
    <w:p w14:paraId="195A8CA2" w14:textId="7B34090F" w:rsidR="00240684" w:rsidRPr="008313ED" w:rsidRDefault="00240684" w:rsidP="00DD71AF">
      <w:pPr>
        <w:pStyle w:val="NoSpacing"/>
        <w:ind w:left="720"/>
        <w:rPr>
          <w:rFonts w:asciiTheme="minorHAnsi" w:eastAsia="Arial" w:hAnsiTheme="minorHAnsi" w:cs="Arial"/>
          <w:i/>
          <w:iCs/>
        </w:rPr>
      </w:pPr>
      <w:r w:rsidRPr="008313ED">
        <w:rPr>
          <w:rFonts w:asciiTheme="minorHAnsi" w:eastAsia="Arial" w:hAnsiTheme="minorHAnsi" w:cs="Arial"/>
          <w:i/>
          <w:iCs/>
        </w:rPr>
        <w:t xml:space="preserve">(b) For oil production operations in the counties of Kern and Fresno, the phrase "every structure, appurtenance, installation" shall mean the same as "stationary source" defined in </w:t>
      </w:r>
      <w:r w:rsidR="00265B35" w:rsidRPr="008313ED">
        <w:rPr>
          <w:rFonts w:asciiTheme="minorHAnsi" w:eastAsia="Arial" w:hAnsiTheme="minorHAnsi" w:cs="Arial"/>
          <w:i/>
          <w:iCs/>
        </w:rPr>
        <w:t>S</w:t>
      </w:r>
      <w:r w:rsidRPr="008313ED">
        <w:rPr>
          <w:rFonts w:asciiTheme="minorHAnsi" w:eastAsia="Arial" w:hAnsiTheme="minorHAnsi" w:cs="Arial"/>
          <w:i/>
          <w:iCs/>
        </w:rPr>
        <w:t>ection 3.0, "Definitions" (</w:t>
      </w:r>
      <w:r w:rsidR="00265B35" w:rsidRPr="008313ED">
        <w:rPr>
          <w:rFonts w:asciiTheme="minorHAnsi" w:eastAsia="Arial" w:hAnsiTheme="minorHAnsi" w:cs="Arial"/>
          <w:i/>
          <w:iCs/>
        </w:rPr>
        <w:t>S</w:t>
      </w:r>
      <w:r w:rsidRPr="008313ED">
        <w:rPr>
          <w:rFonts w:asciiTheme="minorHAnsi" w:eastAsia="Arial" w:hAnsiTheme="minorHAnsi" w:cs="Arial"/>
          <w:i/>
          <w:iCs/>
        </w:rPr>
        <w:t>ection 3.39 definition of facility “Stationary Source”) in San Joaquin Valley Unified Air Pollution Control District Rule 2201 "New and Modified Stationary Source Review Rule" as amended February 18, 2016, which is incorporated by reference herein.</w:t>
      </w:r>
    </w:p>
    <w:p w14:paraId="41D1ED41" w14:textId="77777777" w:rsidR="00240684" w:rsidRPr="008313ED" w:rsidRDefault="00240684" w:rsidP="00DD71AF">
      <w:pPr>
        <w:pStyle w:val="NoSpacing"/>
        <w:rPr>
          <w:rFonts w:asciiTheme="minorHAnsi" w:hAnsiTheme="minorHAnsi"/>
        </w:rPr>
      </w:pPr>
    </w:p>
    <w:p w14:paraId="2D87BE9D" w14:textId="35596DA4" w:rsidR="00240684" w:rsidRPr="008313ED" w:rsidRDefault="00240684" w:rsidP="00DD71AF">
      <w:pPr>
        <w:pStyle w:val="NoSpacing"/>
        <w:rPr>
          <w:rFonts w:asciiTheme="minorHAnsi" w:hAnsiTheme="minorHAnsi"/>
        </w:rPr>
      </w:pPr>
      <w:r w:rsidRPr="008313ED">
        <w:rPr>
          <w:rFonts w:asciiTheme="minorHAnsi" w:hAnsiTheme="minorHAnsi"/>
        </w:rPr>
        <w:t>X.14(b) was needed because oil fields have been historically handled differently for NSR due to their unique geophysical boundaries.</w:t>
      </w:r>
    </w:p>
    <w:p w14:paraId="4BA86B5F" w14:textId="77777777" w:rsidR="00240684" w:rsidRPr="008313ED" w:rsidRDefault="00240684" w:rsidP="00DD71AF">
      <w:pPr>
        <w:pStyle w:val="NoSpacing"/>
        <w:rPr>
          <w:rFonts w:asciiTheme="minorHAnsi" w:hAnsiTheme="minorHAnsi"/>
        </w:rPr>
      </w:pPr>
    </w:p>
    <w:p w14:paraId="172BE94A" w14:textId="51DF4EE5" w:rsidR="00240684" w:rsidRPr="008313ED" w:rsidRDefault="00240684" w:rsidP="00DD71AF">
      <w:pPr>
        <w:pStyle w:val="NoSpacing"/>
        <w:rPr>
          <w:rFonts w:asciiTheme="minorHAnsi" w:hAnsiTheme="minorHAnsi"/>
        </w:rPr>
      </w:pPr>
      <w:r w:rsidRPr="008313ED">
        <w:rPr>
          <w:rFonts w:asciiTheme="minorHAnsi" w:hAnsiTheme="minorHAnsi"/>
        </w:rPr>
        <w:t>Subsection X.14(a) makes it clear that the appropriate extent of aggregation of various stationary items for implementation purposes is intended to include multiple activities at a site, as emphasized in the bold phrases shown below:</w:t>
      </w:r>
    </w:p>
    <w:p w14:paraId="0AA18431" w14:textId="77777777" w:rsidR="00240684" w:rsidRPr="008313ED" w:rsidRDefault="00240684" w:rsidP="00DD71AF">
      <w:pPr>
        <w:pStyle w:val="NoSpacing"/>
        <w:rPr>
          <w:rFonts w:asciiTheme="minorHAnsi" w:hAnsiTheme="minorHAnsi"/>
        </w:rPr>
      </w:pPr>
    </w:p>
    <w:p w14:paraId="71590A23" w14:textId="2D7C2437" w:rsidR="00240684" w:rsidRPr="008313ED" w:rsidRDefault="00240684" w:rsidP="00DD71AF">
      <w:pPr>
        <w:pStyle w:val="NoSpacing"/>
        <w:ind w:left="720"/>
        <w:rPr>
          <w:rFonts w:asciiTheme="minorHAnsi" w:hAnsiTheme="minorHAnsi"/>
          <w:color w:val="000000"/>
        </w:rPr>
      </w:pPr>
      <w:r w:rsidRPr="008313ED">
        <w:rPr>
          <w:rFonts w:asciiTheme="minorHAnsi" w:hAnsiTheme="minorHAnsi"/>
          <w:color w:val="000000"/>
        </w:rPr>
        <w:t xml:space="preserve">(A) which are associated with a source of air emission or potential air emission of a listed </w:t>
      </w:r>
      <w:proofErr w:type="gramStart"/>
      <w:r w:rsidRPr="008313ED">
        <w:rPr>
          <w:rFonts w:asciiTheme="minorHAnsi" w:hAnsiTheme="minorHAnsi"/>
          <w:color w:val="000000"/>
        </w:rPr>
        <w:t>substance</w:t>
      </w:r>
      <w:r w:rsidR="00DD71AF" w:rsidRPr="008313ED">
        <w:rPr>
          <w:rFonts w:asciiTheme="minorHAnsi" w:hAnsiTheme="minorHAnsi"/>
          <w:color w:val="000000"/>
        </w:rPr>
        <w:t>;</w:t>
      </w:r>
      <w:proofErr w:type="gramEnd"/>
    </w:p>
    <w:p w14:paraId="7FE6E5B6" w14:textId="77777777" w:rsidR="00240684" w:rsidRPr="008313ED" w:rsidRDefault="00240684" w:rsidP="00DD71AF">
      <w:pPr>
        <w:pStyle w:val="NoSpacing"/>
        <w:rPr>
          <w:rFonts w:asciiTheme="minorHAnsi" w:hAnsiTheme="minorHAnsi"/>
          <w:color w:val="000000"/>
        </w:rPr>
      </w:pPr>
    </w:p>
    <w:p w14:paraId="580760D7" w14:textId="77777777" w:rsidR="00240684" w:rsidRPr="008313ED" w:rsidRDefault="00240684" w:rsidP="00DD71AF">
      <w:pPr>
        <w:pStyle w:val="NoSpacing"/>
        <w:ind w:left="720"/>
        <w:rPr>
          <w:rFonts w:asciiTheme="minorHAnsi" w:hAnsiTheme="minorHAnsi"/>
          <w:color w:val="000000"/>
        </w:rPr>
      </w:pPr>
      <w:r w:rsidRPr="008313ED">
        <w:rPr>
          <w:rFonts w:asciiTheme="minorHAnsi" w:hAnsiTheme="minorHAnsi"/>
          <w:color w:val="000000"/>
        </w:rPr>
        <w:t xml:space="preserve">(B) which involve activities that belong to the same two-digit Standard Industrial Classification code, </w:t>
      </w:r>
      <w:r w:rsidRPr="008313ED">
        <w:rPr>
          <w:rFonts w:asciiTheme="minorHAnsi" w:hAnsiTheme="minorHAnsi"/>
          <w:b/>
          <w:color w:val="000000"/>
          <w:u w:val="single"/>
        </w:rPr>
        <w:t xml:space="preserve">or are part of a common </w:t>
      </w:r>
      <w:proofErr w:type="gramStart"/>
      <w:r w:rsidRPr="008313ED">
        <w:rPr>
          <w:rFonts w:asciiTheme="minorHAnsi" w:hAnsiTheme="minorHAnsi"/>
          <w:b/>
          <w:color w:val="000000"/>
          <w:u w:val="single"/>
        </w:rPr>
        <w:t>operation</w:t>
      </w:r>
      <w:r w:rsidRPr="008313ED">
        <w:rPr>
          <w:rFonts w:asciiTheme="minorHAnsi" w:hAnsiTheme="minorHAnsi"/>
          <w:color w:val="000000"/>
        </w:rPr>
        <w:t>;</w:t>
      </w:r>
      <w:proofErr w:type="gramEnd"/>
      <w:r w:rsidRPr="008313ED">
        <w:rPr>
          <w:rFonts w:asciiTheme="minorHAnsi" w:hAnsiTheme="minorHAnsi"/>
          <w:color w:val="000000"/>
        </w:rPr>
        <w:t xml:space="preserve"> </w:t>
      </w:r>
    </w:p>
    <w:p w14:paraId="2E1AFD56" w14:textId="77777777" w:rsidR="00240684" w:rsidRPr="008313ED" w:rsidRDefault="00240684" w:rsidP="00DD71AF">
      <w:pPr>
        <w:pStyle w:val="NoSpacing"/>
        <w:rPr>
          <w:rFonts w:asciiTheme="minorHAnsi" w:hAnsiTheme="minorHAnsi"/>
          <w:color w:val="000000"/>
        </w:rPr>
      </w:pPr>
    </w:p>
    <w:p w14:paraId="5C758EED" w14:textId="77777777" w:rsidR="00240684" w:rsidRPr="008313ED" w:rsidRDefault="00240684" w:rsidP="00DD71AF">
      <w:pPr>
        <w:pStyle w:val="NoSpacing"/>
        <w:ind w:firstLine="720"/>
        <w:rPr>
          <w:rFonts w:asciiTheme="minorHAnsi" w:hAnsiTheme="minorHAnsi"/>
          <w:color w:val="000000"/>
        </w:rPr>
      </w:pPr>
      <w:r w:rsidRPr="008313ED">
        <w:rPr>
          <w:rFonts w:asciiTheme="minorHAnsi" w:hAnsiTheme="minorHAnsi"/>
          <w:color w:val="000000"/>
        </w:rPr>
        <w:t xml:space="preserve">(C) which are located on a single site </w:t>
      </w:r>
      <w:r w:rsidRPr="008313ED">
        <w:rPr>
          <w:rFonts w:asciiTheme="minorHAnsi" w:hAnsiTheme="minorHAnsi"/>
          <w:b/>
          <w:color w:val="000000"/>
          <w:u w:val="single"/>
        </w:rPr>
        <w:t>or on contiguous or adjacent sites</w:t>
      </w:r>
      <w:r w:rsidRPr="008313ED">
        <w:rPr>
          <w:rFonts w:asciiTheme="minorHAnsi" w:hAnsiTheme="minorHAnsi"/>
          <w:color w:val="000000"/>
        </w:rPr>
        <w:t xml:space="preserve">; and </w:t>
      </w:r>
    </w:p>
    <w:p w14:paraId="24F90D44" w14:textId="77777777" w:rsidR="00240684" w:rsidRPr="008313ED" w:rsidRDefault="00240684" w:rsidP="00DD71AF">
      <w:pPr>
        <w:pStyle w:val="NoSpacing"/>
        <w:rPr>
          <w:rFonts w:asciiTheme="minorHAnsi" w:hAnsiTheme="minorHAnsi"/>
          <w:color w:val="000000"/>
        </w:rPr>
      </w:pPr>
    </w:p>
    <w:p w14:paraId="017EA427" w14:textId="77777777" w:rsidR="00240684" w:rsidRPr="008313ED" w:rsidRDefault="00240684" w:rsidP="00DD71AF">
      <w:pPr>
        <w:pStyle w:val="NoSpacing"/>
        <w:ind w:left="720"/>
        <w:rPr>
          <w:rFonts w:asciiTheme="minorHAnsi" w:hAnsiTheme="minorHAnsi"/>
        </w:rPr>
      </w:pPr>
      <w:r w:rsidRPr="008313ED">
        <w:rPr>
          <w:rFonts w:asciiTheme="minorHAnsi" w:hAnsiTheme="minorHAnsi"/>
          <w:color w:val="000000"/>
        </w:rPr>
        <w:t xml:space="preserve">(D) which are under common ownership, operation, or control, or which are owned or operated by entities which are </w:t>
      </w:r>
      <w:r w:rsidRPr="008313ED">
        <w:rPr>
          <w:rFonts w:asciiTheme="minorHAnsi" w:hAnsiTheme="minorHAnsi"/>
          <w:b/>
          <w:color w:val="000000"/>
        </w:rPr>
        <w:t xml:space="preserve">under </w:t>
      </w:r>
      <w:bookmarkStart w:id="15" w:name="_Hlk152600596"/>
      <w:r w:rsidRPr="008313ED">
        <w:rPr>
          <w:rFonts w:asciiTheme="minorHAnsi" w:hAnsiTheme="minorHAnsi"/>
          <w:b/>
          <w:color w:val="000000"/>
        </w:rPr>
        <w:t>common ownership, operation, or control</w:t>
      </w:r>
      <w:r w:rsidRPr="008313ED">
        <w:rPr>
          <w:rFonts w:asciiTheme="minorHAnsi" w:hAnsiTheme="minorHAnsi"/>
          <w:color w:val="000000"/>
        </w:rPr>
        <w:t>.</w:t>
      </w:r>
    </w:p>
    <w:bookmarkEnd w:id="15"/>
    <w:p w14:paraId="726C135A" w14:textId="77777777" w:rsidR="00240684" w:rsidRPr="008313ED" w:rsidRDefault="00240684" w:rsidP="00DD71AF">
      <w:pPr>
        <w:pStyle w:val="NoSpacing"/>
        <w:rPr>
          <w:rFonts w:asciiTheme="minorHAnsi" w:hAnsiTheme="minorHAnsi"/>
        </w:rPr>
      </w:pPr>
    </w:p>
    <w:p w14:paraId="372F63D3" w14:textId="77BCAC9B" w:rsidR="00240684" w:rsidRPr="008313ED" w:rsidRDefault="00240684" w:rsidP="00DD71AF">
      <w:pPr>
        <w:pStyle w:val="NoSpacing"/>
        <w:rPr>
          <w:rFonts w:asciiTheme="minorHAnsi" w:hAnsiTheme="minorHAnsi"/>
        </w:rPr>
      </w:pPr>
      <w:r w:rsidRPr="008313ED">
        <w:rPr>
          <w:rFonts w:asciiTheme="minorHAnsi" w:hAnsiTheme="minorHAnsi"/>
        </w:rPr>
        <w:t xml:space="preserve">Combined with the AB2588 Statute’s definition of “Operator” (see the following discussion regarding HSC </w:t>
      </w:r>
      <w:r w:rsidR="00D4233A" w:rsidRPr="008313ED">
        <w:rPr>
          <w:rFonts w:asciiTheme="minorHAnsi" w:hAnsiTheme="minorHAnsi"/>
        </w:rPr>
        <w:t>§</w:t>
      </w:r>
      <w:r w:rsidRPr="008313ED">
        <w:rPr>
          <w:rFonts w:asciiTheme="minorHAnsi" w:hAnsiTheme="minorHAnsi"/>
        </w:rPr>
        <w:t xml:space="preserve">44307) as the person who “owns or operates a facility or part of a facility”, </w:t>
      </w:r>
      <w:r w:rsidR="00DD71AF" w:rsidRPr="008313ED">
        <w:rPr>
          <w:rFonts w:asciiTheme="minorHAnsi" w:hAnsiTheme="minorHAnsi"/>
        </w:rPr>
        <w:t>implementation</w:t>
      </w:r>
      <w:r w:rsidRPr="008313ED">
        <w:rPr>
          <w:rFonts w:asciiTheme="minorHAnsi" w:hAnsiTheme="minorHAnsi"/>
        </w:rPr>
        <w:t xml:space="preserve"> of the AB2588 provisions is intended to be inclusive of multiple operations that are co-located where there is common ownership, operation, or control.  </w:t>
      </w:r>
      <w:r w:rsidR="00B83EEF" w:rsidRPr="008313ED">
        <w:rPr>
          <w:rFonts w:asciiTheme="minorHAnsi" w:hAnsiTheme="minorHAnsi"/>
        </w:rPr>
        <w:t xml:space="preserve">“Common ownership operation or control” </w:t>
      </w:r>
      <w:r w:rsidR="00EC1F78" w:rsidRPr="008313ED">
        <w:rPr>
          <w:rFonts w:asciiTheme="minorHAnsi" w:hAnsiTheme="minorHAnsi"/>
        </w:rPr>
        <w:t xml:space="preserve">is not defined for purposes of the EICG and may therefore </w:t>
      </w:r>
      <w:r w:rsidR="00A62B32" w:rsidRPr="008313ED">
        <w:rPr>
          <w:rFonts w:asciiTheme="minorHAnsi" w:hAnsiTheme="minorHAnsi"/>
        </w:rPr>
        <w:t xml:space="preserve">involve </w:t>
      </w:r>
      <w:r w:rsidR="00EC1F78" w:rsidRPr="008313ED">
        <w:rPr>
          <w:rFonts w:asciiTheme="minorHAnsi" w:hAnsiTheme="minorHAnsi"/>
        </w:rPr>
        <w:t xml:space="preserve">a </w:t>
      </w:r>
      <w:r w:rsidR="00E66F76" w:rsidRPr="008313ED">
        <w:rPr>
          <w:rFonts w:asciiTheme="minorHAnsi" w:hAnsiTheme="minorHAnsi"/>
        </w:rPr>
        <w:t>case-by-case</w:t>
      </w:r>
      <w:r w:rsidR="00EC1F78" w:rsidRPr="008313ED">
        <w:rPr>
          <w:rFonts w:asciiTheme="minorHAnsi" w:hAnsiTheme="minorHAnsi"/>
        </w:rPr>
        <w:t xml:space="preserve"> </w:t>
      </w:r>
      <w:r w:rsidR="00A62B32" w:rsidRPr="008313ED">
        <w:rPr>
          <w:rFonts w:asciiTheme="minorHAnsi" w:hAnsiTheme="minorHAnsi"/>
        </w:rPr>
        <w:t xml:space="preserve">review </w:t>
      </w:r>
      <w:r w:rsidR="00EC1F78" w:rsidRPr="008313ED">
        <w:rPr>
          <w:rFonts w:asciiTheme="minorHAnsi" w:hAnsiTheme="minorHAnsi"/>
        </w:rPr>
        <w:t xml:space="preserve">by the local air district. </w:t>
      </w:r>
      <w:r w:rsidR="00B83EEF" w:rsidRPr="008313ED">
        <w:rPr>
          <w:rFonts w:asciiTheme="minorHAnsi" w:hAnsiTheme="minorHAnsi"/>
        </w:rPr>
        <w:t xml:space="preserve">For example, a district </w:t>
      </w:r>
      <w:r w:rsidR="00EC1F78" w:rsidRPr="008313ED">
        <w:rPr>
          <w:rFonts w:asciiTheme="minorHAnsi" w:hAnsiTheme="minorHAnsi"/>
        </w:rPr>
        <w:t xml:space="preserve">evaluating </w:t>
      </w:r>
      <w:r w:rsidR="00B83EEF" w:rsidRPr="008313ED">
        <w:rPr>
          <w:rFonts w:asciiTheme="minorHAnsi" w:hAnsiTheme="minorHAnsi"/>
        </w:rPr>
        <w:t xml:space="preserve">information presented by co-located facilities may </w:t>
      </w:r>
      <w:r w:rsidR="00704067" w:rsidRPr="008313ED">
        <w:rPr>
          <w:rFonts w:asciiTheme="minorHAnsi" w:hAnsiTheme="minorHAnsi"/>
        </w:rPr>
        <w:t xml:space="preserve">conclude </w:t>
      </w:r>
      <w:r w:rsidR="00EC1F78" w:rsidRPr="008313ED">
        <w:rPr>
          <w:rFonts w:asciiTheme="minorHAnsi" w:hAnsiTheme="minorHAnsi"/>
        </w:rPr>
        <w:t xml:space="preserve">based on </w:t>
      </w:r>
      <w:r w:rsidR="00A62B32" w:rsidRPr="008313ED">
        <w:rPr>
          <w:rFonts w:asciiTheme="minorHAnsi" w:hAnsiTheme="minorHAnsi"/>
        </w:rPr>
        <w:t xml:space="preserve">available </w:t>
      </w:r>
      <w:r w:rsidR="00EC1F78" w:rsidRPr="008313ED">
        <w:rPr>
          <w:rFonts w:asciiTheme="minorHAnsi" w:hAnsiTheme="minorHAnsi"/>
        </w:rPr>
        <w:t xml:space="preserve">facts </w:t>
      </w:r>
      <w:r w:rsidR="00B83EEF" w:rsidRPr="008313ED">
        <w:rPr>
          <w:rFonts w:asciiTheme="minorHAnsi" w:hAnsiTheme="minorHAnsi"/>
        </w:rPr>
        <w:t>that all co-located operations constitute a “facilit</w:t>
      </w:r>
      <w:r w:rsidR="00704067" w:rsidRPr="008313ED">
        <w:rPr>
          <w:rFonts w:asciiTheme="minorHAnsi" w:hAnsiTheme="minorHAnsi"/>
        </w:rPr>
        <w:t xml:space="preserve">y” for purposes of preparing a combined health risk assessment.  </w:t>
      </w:r>
    </w:p>
    <w:p w14:paraId="30156BE5" w14:textId="77777777" w:rsidR="00240684" w:rsidRPr="008313ED" w:rsidRDefault="00240684" w:rsidP="00DD71AF">
      <w:pPr>
        <w:pStyle w:val="NoSpacing"/>
        <w:rPr>
          <w:rFonts w:asciiTheme="minorHAnsi" w:hAnsiTheme="minorHAnsi"/>
        </w:rPr>
      </w:pPr>
    </w:p>
    <w:p w14:paraId="40D90CA7" w14:textId="6ECE13F7" w:rsidR="00240684" w:rsidRPr="008313ED" w:rsidRDefault="00240684" w:rsidP="00DD71AF">
      <w:pPr>
        <w:pStyle w:val="NoSpacing"/>
        <w:rPr>
          <w:rFonts w:asciiTheme="minorHAnsi" w:hAnsiTheme="minorHAnsi"/>
        </w:rPr>
      </w:pPr>
      <w:r w:rsidRPr="008313ED">
        <w:rPr>
          <w:rFonts w:asciiTheme="minorHAnsi" w:hAnsiTheme="minorHAnsi"/>
        </w:rPr>
        <w:t xml:space="preserve">The inclusive nature of the definition of facility has been emphasized over the many years of </w:t>
      </w:r>
      <w:r w:rsidR="003F2F28" w:rsidRPr="008313ED">
        <w:rPr>
          <w:rFonts w:asciiTheme="minorHAnsi" w:hAnsiTheme="minorHAnsi"/>
        </w:rPr>
        <w:t>Hot Spots</w:t>
      </w:r>
      <w:r w:rsidRPr="008313ED">
        <w:rPr>
          <w:rFonts w:asciiTheme="minorHAnsi" w:hAnsiTheme="minorHAnsi"/>
        </w:rPr>
        <w:t xml:space="preserve"> implementation and was meant to align with the similarly inclusive nature of the stationary source definition for NSR. Moreover, it is meant to align with the broad public right-to-know provisions and public-health protective risk reduction provisions of the AB2588 Statute. </w:t>
      </w:r>
    </w:p>
    <w:p w14:paraId="018E5162" w14:textId="77777777" w:rsidR="00B95CAB" w:rsidRPr="008313ED" w:rsidRDefault="00B95CAB" w:rsidP="00DD71AF">
      <w:pPr>
        <w:pStyle w:val="NoSpacing"/>
        <w:rPr>
          <w:rFonts w:asciiTheme="minorHAnsi" w:hAnsiTheme="minorHAnsi"/>
        </w:rPr>
      </w:pPr>
    </w:p>
    <w:p w14:paraId="343DCF54" w14:textId="3DB0308A" w:rsidR="00240684" w:rsidRPr="008313ED" w:rsidRDefault="000632A7" w:rsidP="00DD71AF">
      <w:pPr>
        <w:pStyle w:val="NoSpacing"/>
        <w:rPr>
          <w:rFonts w:asciiTheme="minorHAnsi" w:hAnsiTheme="minorHAnsi"/>
        </w:rPr>
      </w:pPr>
      <w:r w:rsidRPr="008313ED">
        <w:rPr>
          <w:rFonts w:asciiTheme="minorHAnsi" w:hAnsiTheme="minorHAnsi"/>
        </w:rPr>
        <w:t xml:space="preserve">In CARB’s view, </w:t>
      </w:r>
      <w:r w:rsidR="00E77716" w:rsidRPr="008313ED">
        <w:rPr>
          <w:rFonts w:asciiTheme="minorHAnsi" w:hAnsiTheme="minorHAnsi"/>
        </w:rPr>
        <w:t xml:space="preserve">it </w:t>
      </w:r>
      <w:r w:rsidR="00240684" w:rsidRPr="008313ED">
        <w:rPr>
          <w:rFonts w:asciiTheme="minorHAnsi" w:hAnsiTheme="minorHAnsi"/>
        </w:rPr>
        <w:t xml:space="preserve">would be inconsistent with </w:t>
      </w:r>
      <w:r w:rsidRPr="008313ED">
        <w:rPr>
          <w:rFonts w:asciiTheme="minorHAnsi" w:hAnsiTheme="minorHAnsi"/>
        </w:rPr>
        <w:t xml:space="preserve">the </w:t>
      </w:r>
      <w:r w:rsidR="00240684" w:rsidRPr="008313ED">
        <w:rPr>
          <w:rFonts w:asciiTheme="minorHAnsi" w:hAnsiTheme="minorHAnsi"/>
        </w:rPr>
        <w:t xml:space="preserve">broad public right-to-know intent of the AB2588 program to subdivide multiple, co-located operations </w:t>
      </w:r>
      <w:r w:rsidR="00FE13A5" w:rsidRPr="008313ED">
        <w:rPr>
          <w:rFonts w:asciiTheme="minorHAnsi" w:hAnsiTheme="minorHAnsi"/>
        </w:rPr>
        <w:t xml:space="preserve">that are </w:t>
      </w:r>
      <w:r w:rsidR="00240684" w:rsidRPr="008313ED">
        <w:rPr>
          <w:rFonts w:asciiTheme="minorHAnsi" w:hAnsiTheme="minorHAnsi"/>
        </w:rPr>
        <w:t xml:space="preserve">under one owner’s </w:t>
      </w:r>
      <w:r w:rsidRPr="008313ED">
        <w:rPr>
          <w:rFonts w:asciiTheme="minorHAnsi" w:hAnsiTheme="minorHAnsi"/>
        </w:rPr>
        <w:t xml:space="preserve">“common ownership, operation, or control” </w:t>
      </w:r>
      <w:r w:rsidR="00240684" w:rsidRPr="008313ED">
        <w:rPr>
          <w:rFonts w:asciiTheme="minorHAnsi" w:hAnsiTheme="minorHAnsi"/>
        </w:rPr>
        <w:t>such that, for example, they individually do not trigger risk-based thresholds (for public notification and/or risk reduction), but collectively would trigger these risk-based thresholds.</w:t>
      </w:r>
    </w:p>
    <w:p w14:paraId="4247A4DA" w14:textId="77777777" w:rsidR="00240684" w:rsidRPr="008313ED" w:rsidRDefault="00240684" w:rsidP="00DD71AF">
      <w:pPr>
        <w:pStyle w:val="NoSpacing"/>
        <w:rPr>
          <w:rFonts w:asciiTheme="minorHAnsi" w:hAnsiTheme="minorHAnsi"/>
        </w:rPr>
      </w:pPr>
    </w:p>
    <w:p w14:paraId="518C2925" w14:textId="7709E1AF" w:rsidR="00240684" w:rsidRPr="008313ED" w:rsidRDefault="00240684" w:rsidP="00DD71AF">
      <w:pPr>
        <w:pStyle w:val="NoSpacing"/>
        <w:rPr>
          <w:rFonts w:asciiTheme="minorHAnsi" w:hAnsiTheme="minorHAnsi"/>
        </w:rPr>
      </w:pPr>
      <w:r w:rsidRPr="008313ED">
        <w:rPr>
          <w:rFonts w:asciiTheme="minorHAnsi" w:hAnsiTheme="minorHAnsi"/>
        </w:rPr>
        <w:t xml:space="preserve">Similarly, certain reporting provisions such as the use of the “reporting degree of accuracy” under the EICG </w:t>
      </w:r>
      <w:r w:rsidR="00BB2BDE" w:rsidRPr="008313ED">
        <w:rPr>
          <w:rFonts w:asciiTheme="minorHAnsi" w:hAnsiTheme="minorHAnsi"/>
        </w:rPr>
        <w:t>Regulation</w:t>
      </w:r>
      <w:r w:rsidRPr="008313ED">
        <w:rPr>
          <w:rFonts w:asciiTheme="minorHAnsi" w:hAnsiTheme="minorHAnsi"/>
        </w:rPr>
        <w:t>, are meant to be applied on a broad facility-wide basis to ensure reporting of collective amounts of a given toxic substance. Subdividing co-located operations could lead to inappropriate under-reporting or lack of reporting of toxic substances that collectively would meet the reporting degree of accuracy thresholds.</w:t>
      </w:r>
      <w:r w:rsidR="000632A7" w:rsidRPr="008313ED">
        <w:rPr>
          <w:rFonts w:asciiTheme="minorHAnsi" w:hAnsiTheme="minorHAnsi"/>
        </w:rPr>
        <w:t xml:space="preserve"> </w:t>
      </w:r>
    </w:p>
    <w:p w14:paraId="09134424" w14:textId="77777777" w:rsidR="00240684" w:rsidRPr="008313ED" w:rsidRDefault="00240684" w:rsidP="00240684">
      <w:pPr>
        <w:spacing w:after="100"/>
        <w:contextualSpacing/>
        <w:rPr>
          <w:rFonts w:asciiTheme="minorHAnsi" w:hAnsiTheme="minorHAnsi"/>
        </w:rPr>
      </w:pPr>
    </w:p>
    <w:p w14:paraId="34FB1C5F" w14:textId="24B91C26" w:rsidR="00240684" w:rsidRPr="008313ED" w:rsidRDefault="6A79A0BF" w:rsidP="00DD71AF">
      <w:pPr>
        <w:pStyle w:val="Heading3"/>
        <w:rPr>
          <w:rFonts w:asciiTheme="minorHAnsi" w:hAnsiTheme="minorHAnsi"/>
        </w:rPr>
      </w:pPr>
      <w:bookmarkStart w:id="16" w:name="_Toc187305852"/>
      <w:r w:rsidRPr="008313ED">
        <w:rPr>
          <w:rFonts w:asciiTheme="minorHAnsi" w:hAnsiTheme="minorHAnsi"/>
        </w:rPr>
        <w:t xml:space="preserve">How does the AB2588 </w:t>
      </w:r>
      <w:r w:rsidR="003F2F28" w:rsidRPr="008313ED">
        <w:rPr>
          <w:rFonts w:asciiTheme="minorHAnsi" w:hAnsiTheme="minorHAnsi"/>
        </w:rPr>
        <w:t>Hot Spots</w:t>
      </w:r>
      <w:r w:rsidRPr="008313ED">
        <w:rPr>
          <w:rFonts w:asciiTheme="minorHAnsi" w:hAnsiTheme="minorHAnsi"/>
        </w:rPr>
        <w:t xml:space="preserve"> Statute define “Operator” and how does this affect </w:t>
      </w:r>
      <w:r w:rsidR="005A4E2D" w:rsidRPr="008313ED">
        <w:rPr>
          <w:rFonts w:asciiTheme="minorHAnsi" w:hAnsiTheme="minorHAnsi"/>
        </w:rPr>
        <w:t xml:space="preserve">who is </w:t>
      </w:r>
      <w:r w:rsidR="00A0428C" w:rsidRPr="008313ED">
        <w:rPr>
          <w:rFonts w:asciiTheme="minorHAnsi" w:hAnsiTheme="minorHAnsi"/>
        </w:rPr>
        <w:t>responsible under the</w:t>
      </w:r>
      <w:r w:rsidRPr="008313ED">
        <w:rPr>
          <w:rFonts w:asciiTheme="minorHAnsi" w:hAnsiTheme="minorHAnsi"/>
        </w:rPr>
        <w:t xml:space="preserve"> of the </w:t>
      </w:r>
      <w:r w:rsidR="003F2F28" w:rsidRPr="008313ED">
        <w:rPr>
          <w:rFonts w:asciiTheme="minorHAnsi" w:hAnsiTheme="minorHAnsi"/>
        </w:rPr>
        <w:t>Hot Spots</w:t>
      </w:r>
      <w:r w:rsidRPr="008313ED">
        <w:rPr>
          <w:rFonts w:asciiTheme="minorHAnsi" w:hAnsiTheme="minorHAnsi"/>
        </w:rPr>
        <w:t xml:space="preserve"> </w:t>
      </w:r>
      <w:r w:rsidR="00AA43E7" w:rsidRPr="008313ED">
        <w:rPr>
          <w:rFonts w:asciiTheme="minorHAnsi" w:hAnsiTheme="minorHAnsi"/>
        </w:rPr>
        <w:t>Regulation</w:t>
      </w:r>
      <w:r w:rsidRPr="008313ED">
        <w:rPr>
          <w:rFonts w:asciiTheme="minorHAnsi" w:hAnsiTheme="minorHAnsi"/>
        </w:rPr>
        <w:t>?</w:t>
      </w:r>
      <w:bookmarkEnd w:id="16"/>
    </w:p>
    <w:p w14:paraId="207C3E62" w14:textId="69CAEC4E" w:rsidR="00240684" w:rsidRPr="008313ED" w:rsidRDefault="00240684" w:rsidP="000148BF">
      <w:pPr>
        <w:pStyle w:val="NoSpacing"/>
        <w:rPr>
          <w:rFonts w:asciiTheme="minorHAnsi" w:hAnsiTheme="minorHAnsi"/>
        </w:rPr>
      </w:pPr>
      <w:r w:rsidRPr="008313ED">
        <w:rPr>
          <w:rFonts w:asciiTheme="minorHAnsi" w:hAnsiTheme="minorHAnsi"/>
        </w:rPr>
        <w:t xml:space="preserve">For purposes of the AB2588 </w:t>
      </w:r>
      <w:r w:rsidR="003F2F28" w:rsidRPr="008313ED">
        <w:rPr>
          <w:rFonts w:asciiTheme="minorHAnsi" w:hAnsiTheme="minorHAnsi"/>
        </w:rPr>
        <w:t>Hot Spots</w:t>
      </w:r>
      <w:r w:rsidRPr="008313ED">
        <w:rPr>
          <w:rFonts w:asciiTheme="minorHAnsi" w:hAnsiTheme="minorHAnsi"/>
        </w:rPr>
        <w:t xml:space="preserve"> program, the Statute contains the following definition </w:t>
      </w:r>
      <w:r w:rsidR="000148BF" w:rsidRPr="008313ED">
        <w:rPr>
          <w:rFonts w:asciiTheme="minorHAnsi" w:hAnsiTheme="minorHAnsi"/>
        </w:rPr>
        <w:t>(</w:t>
      </w:r>
      <w:r w:rsidR="00062C2E" w:rsidRPr="008313ED">
        <w:rPr>
          <w:rFonts w:asciiTheme="minorHAnsi" w:hAnsiTheme="minorHAnsi"/>
        </w:rPr>
        <w:t>HSC §</w:t>
      </w:r>
      <w:r w:rsidR="000148BF" w:rsidRPr="008313ED">
        <w:rPr>
          <w:rFonts w:asciiTheme="minorHAnsi" w:hAnsiTheme="minorHAnsi"/>
        </w:rPr>
        <w:t xml:space="preserve">44307) </w:t>
      </w:r>
      <w:r w:rsidRPr="008313ED">
        <w:rPr>
          <w:rFonts w:asciiTheme="minorHAnsi" w:hAnsiTheme="minorHAnsi"/>
        </w:rPr>
        <w:t>of “Operator”:</w:t>
      </w:r>
    </w:p>
    <w:p w14:paraId="45D23C9C" w14:textId="77777777" w:rsidR="00240684" w:rsidRPr="008313ED" w:rsidRDefault="00240684" w:rsidP="000148BF">
      <w:pPr>
        <w:pStyle w:val="NoSpacing"/>
        <w:rPr>
          <w:rFonts w:asciiTheme="minorHAnsi" w:hAnsiTheme="minorHAnsi"/>
        </w:rPr>
      </w:pPr>
    </w:p>
    <w:p w14:paraId="2D6C199F" w14:textId="77777777" w:rsidR="00240684" w:rsidRPr="008313ED" w:rsidRDefault="00240684" w:rsidP="000148BF">
      <w:pPr>
        <w:pStyle w:val="NoSpacing"/>
        <w:ind w:firstLine="720"/>
        <w:rPr>
          <w:rFonts w:asciiTheme="minorHAnsi" w:hAnsiTheme="minorHAnsi"/>
          <w:i/>
          <w:iCs/>
        </w:rPr>
      </w:pPr>
      <w:r w:rsidRPr="008313ED">
        <w:rPr>
          <w:rFonts w:asciiTheme="minorHAnsi" w:hAnsiTheme="minorHAnsi"/>
          <w:i/>
          <w:iCs/>
        </w:rPr>
        <w:t>“Operator” means the person who owns or operates a facility or part of a facility.</w:t>
      </w:r>
    </w:p>
    <w:p w14:paraId="271FB74A" w14:textId="77777777" w:rsidR="00240684" w:rsidRPr="008313ED" w:rsidRDefault="00240684" w:rsidP="000148BF">
      <w:pPr>
        <w:pStyle w:val="NoSpacing"/>
        <w:rPr>
          <w:rFonts w:asciiTheme="minorHAnsi" w:hAnsiTheme="minorHAnsi"/>
        </w:rPr>
      </w:pPr>
    </w:p>
    <w:p w14:paraId="27CD944D" w14:textId="5D0B8284" w:rsidR="00240684" w:rsidRPr="008313ED" w:rsidRDefault="00240684" w:rsidP="000148BF">
      <w:pPr>
        <w:pStyle w:val="NoSpacing"/>
        <w:rPr>
          <w:rFonts w:asciiTheme="minorHAnsi" w:hAnsiTheme="minorHAnsi"/>
        </w:rPr>
      </w:pPr>
      <w:r w:rsidRPr="008313ED">
        <w:rPr>
          <w:rFonts w:asciiTheme="minorHAnsi" w:hAnsiTheme="minorHAnsi"/>
        </w:rPr>
        <w:t xml:space="preserve">For brevity, the remainder of the AB2588 </w:t>
      </w:r>
      <w:r w:rsidR="003F2F28" w:rsidRPr="008313ED">
        <w:rPr>
          <w:rFonts w:asciiTheme="minorHAnsi" w:hAnsiTheme="minorHAnsi"/>
        </w:rPr>
        <w:t>Hot Spots</w:t>
      </w:r>
      <w:r w:rsidRPr="008313ED">
        <w:rPr>
          <w:rFonts w:asciiTheme="minorHAnsi" w:hAnsiTheme="minorHAnsi"/>
        </w:rPr>
        <w:t xml:space="preserve"> Statute uses the defined term “operator” when specifying requirements for the facility; however, the definition in HSC</w:t>
      </w:r>
      <w:r w:rsidR="00D4233A" w:rsidRPr="008313ED">
        <w:rPr>
          <w:rFonts w:asciiTheme="minorHAnsi" w:hAnsiTheme="minorHAnsi"/>
        </w:rPr>
        <w:t xml:space="preserve"> §</w:t>
      </w:r>
      <w:r w:rsidRPr="008313ED">
        <w:rPr>
          <w:rFonts w:asciiTheme="minorHAnsi" w:hAnsiTheme="minorHAnsi"/>
        </w:rPr>
        <w:t>44307 makes it clear that the term “operator” refers to either</w:t>
      </w:r>
      <w:r w:rsidR="006F22F2" w:rsidRPr="008313ED">
        <w:rPr>
          <w:rFonts w:asciiTheme="minorHAnsi" w:hAnsiTheme="minorHAnsi"/>
        </w:rPr>
        <w:t xml:space="preserve"> </w:t>
      </w:r>
      <w:r w:rsidR="00EA02C7" w:rsidRPr="008313ED">
        <w:rPr>
          <w:rFonts w:asciiTheme="minorHAnsi" w:hAnsiTheme="minorHAnsi"/>
        </w:rPr>
        <w:t>or both</w:t>
      </w:r>
      <w:r w:rsidRPr="008313ED">
        <w:rPr>
          <w:rFonts w:asciiTheme="minorHAnsi" w:hAnsiTheme="minorHAnsi"/>
        </w:rPr>
        <w:t xml:space="preserve"> the person who owns or operates a facility or part of a facility. Responsibility for complying with all provisions of the AB2588 </w:t>
      </w:r>
      <w:r w:rsidR="003F2F28" w:rsidRPr="008313ED">
        <w:rPr>
          <w:rFonts w:asciiTheme="minorHAnsi" w:hAnsiTheme="minorHAnsi"/>
        </w:rPr>
        <w:t>Hot Spots</w:t>
      </w:r>
      <w:r w:rsidRPr="008313ED">
        <w:rPr>
          <w:rFonts w:asciiTheme="minorHAnsi" w:hAnsiTheme="minorHAnsi"/>
        </w:rPr>
        <w:t xml:space="preserve"> program therefore are applicable to either</w:t>
      </w:r>
      <w:r w:rsidR="00EA02C7" w:rsidRPr="008313ED">
        <w:rPr>
          <w:rFonts w:asciiTheme="minorHAnsi" w:hAnsiTheme="minorHAnsi"/>
        </w:rPr>
        <w:t xml:space="preserve"> or both</w:t>
      </w:r>
      <w:r w:rsidRPr="008313ED">
        <w:rPr>
          <w:rFonts w:asciiTheme="minorHAnsi" w:hAnsiTheme="minorHAnsi"/>
        </w:rPr>
        <w:t xml:space="preserve"> a person who owns or operates a facility or part of a facility. Therefore, if an operator of part of a facility does not comply with program requirements, the owner of the facility is still ultimately responsible for compliance with all program requirements</w:t>
      </w:r>
      <w:r w:rsidR="00EA02C7" w:rsidRPr="008313ED">
        <w:rPr>
          <w:rFonts w:asciiTheme="minorHAnsi" w:hAnsiTheme="minorHAnsi"/>
        </w:rPr>
        <w:t>. The</w:t>
      </w:r>
      <w:r w:rsidR="00CD3504" w:rsidRPr="008313ED">
        <w:rPr>
          <w:rFonts w:asciiTheme="minorHAnsi" w:hAnsiTheme="minorHAnsi"/>
        </w:rPr>
        <w:t xml:space="preserve"> </w:t>
      </w:r>
      <w:r w:rsidRPr="008313ED">
        <w:rPr>
          <w:rFonts w:asciiTheme="minorHAnsi" w:hAnsiTheme="minorHAnsi"/>
        </w:rPr>
        <w:t>EICG</w:t>
      </w:r>
      <w:r w:rsidRPr="008313ED" w:rsidDel="00AA43E7">
        <w:rPr>
          <w:rFonts w:asciiTheme="minorHAnsi" w:hAnsiTheme="minorHAnsi"/>
        </w:rPr>
        <w:t xml:space="preserve"> </w:t>
      </w:r>
      <w:r w:rsidR="00AA43E7" w:rsidRPr="008313ED">
        <w:rPr>
          <w:rFonts w:asciiTheme="minorHAnsi" w:hAnsiTheme="minorHAnsi"/>
        </w:rPr>
        <w:t xml:space="preserve">Regulation </w:t>
      </w:r>
      <w:r w:rsidRPr="008313ED">
        <w:rPr>
          <w:rFonts w:asciiTheme="minorHAnsi" w:hAnsiTheme="minorHAnsi"/>
        </w:rPr>
        <w:t>also references this same definition as in the AB2588 Statute.</w:t>
      </w:r>
    </w:p>
    <w:p w14:paraId="4700B834" w14:textId="77777777" w:rsidR="00A9000B" w:rsidRPr="008313ED" w:rsidRDefault="00A9000B" w:rsidP="00A9000B">
      <w:pPr>
        <w:widowControl w:val="0"/>
        <w:autoSpaceDE w:val="0"/>
        <w:autoSpaceDN w:val="0"/>
        <w:spacing w:before="0" w:after="0"/>
        <w:rPr>
          <w:rFonts w:asciiTheme="minorHAnsi" w:hAnsiTheme="minorHAnsi"/>
          <w:b/>
          <w:bCs/>
        </w:rPr>
      </w:pPr>
    </w:p>
    <w:p w14:paraId="442F6849" w14:textId="0DC24A09" w:rsidR="00A9000B" w:rsidRPr="008313ED" w:rsidRDefault="3F1AC80F" w:rsidP="00A9000B">
      <w:pPr>
        <w:pStyle w:val="Heading3"/>
        <w:rPr>
          <w:rFonts w:asciiTheme="minorHAnsi" w:hAnsiTheme="minorHAnsi"/>
        </w:rPr>
      </w:pPr>
      <w:bookmarkStart w:id="17" w:name="_Toc187305853"/>
      <w:r w:rsidRPr="008313ED">
        <w:rPr>
          <w:rFonts w:asciiTheme="minorHAnsi" w:hAnsiTheme="minorHAnsi"/>
        </w:rPr>
        <w:t>Are</w:t>
      </w:r>
      <w:r w:rsidRPr="008313ED">
        <w:rPr>
          <w:rFonts w:asciiTheme="minorHAnsi" w:hAnsiTheme="minorHAnsi"/>
          <w:spacing w:val="-5"/>
        </w:rPr>
        <w:t xml:space="preserve"> </w:t>
      </w:r>
      <w:r w:rsidRPr="008313ED">
        <w:rPr>
          <w:rFonts w:asciiTheme="minorHAnsi" w:hAnsiTheme="minorHAnsi"/>
        </w:rPr>
        <w:t>cumulative</w:t>
      </w:r>
      <w:r w:rsidRPr="008313ED">
        <w:rPr>
          <w:rFonts w:asciiTheme="minorHAnsi" w:hAnsiTheme="minorHAnsi"/>
          <w:spacing w:val="-4"/>
        </w:rPr>
        <w:t xml:space="preserve"> </w:t>
      </w:r>
      <w:r w:rsidRPr="008313ED">
        <w:rPr>
          <w:rFonts w:asciiTheme="minorHAnsi" w:hAnsiTheme="minorHAnsi"/>
        </w:rPr>
        <w:t>emissions</w:t>
      </w:r>
      <w:r w:rsidRPr="008313ED">
        <w:rPr>
          <w:rFonts w:asciiTheme="minorHAnsi" w:hAnsiTheme="minorHAnsi"/>
          <w:spacing w:val="-4"/>
        </w:rPr>
        <w:t xml:space="preserve"> </w:t>
      </w:r>
      <w:r w:rsidRPr="008313ED">
        <w:rPr>
          <w:rFonts w:asciiTheme="minorHAnsi" w:hAnsiTheme="minorHAnsi"/>
        </w:rPr>
        <w:t>from</w:t>
      </w:r>
      <w:r w:rsidRPr="008313ED">
        <w:rPr>
          <w:rFonts w:asciiTheme="minorHAnsi" w:hAnsiTheme="minorHAnsi"/>
          <w:spacing w:val="-4"/>
        </w:rPr>
        <w:t xml:space="preserve"> </w:t>
      </w:r>
      <w:r w:rsidRPr="008313ED">
        <w:rPr>
          <w:rFonts w:asciiTheme="minorHAnsi" w:hAnsiTheme="minorHAnsi"/>
        </w:rPr>
        <w:t>multiple</w:t>
      </w:r>
      <w:r w:rsidRPr="008313ED">
        <w:rPr>
          <w:rFonts w:asciiTheme="minorHAnsi" w:hAnsiTheme="minorHAnsi"/>
          <w:spacing w:val="-5"/>
        </w:rPr>
        <w:t xml:space="preserve"> </w:t>
      </w:r>
      <w:r w:rsidRPr="008313ED">
        <w:rPr>
          <w:rFonts w:asciiTheme="minorHAnsi" w:hAnsiTheme="minorHAnsi"/>
        </w:rPr>
        <w:t>facilities</w:t>
      </w:r>
      <w:r w:rsidRPr="008313ED">
        <w:rPr>
          <w:rFonts w:asciiTheme="minorHAnsi" w:hAnsiTheme="minorHAnsi"/>
          <w:spacing w:val="-5"/>
        </w:rPr>
        <w:t xml:space="preserve"> </w:t>
      </w:r>
      <w:r w:rsidRPr="008313ED">
        <w:rPr>
          <w:rFonts w:asciiTheme="minorHAnsi" w:hAnsiTheme="minorHAnsi"/>
        </w:rPr>
        <w:t>addressed</w:t>
      </w:r>
      <w:r w:rsidRPr="008313ED">
        <w:rPr>
          <w:rFonts w:asciiTheme="minorHAnsi" w:hAnsiTheme="minorHAnsi"/>
          <w:spacing w:val="-5"/>
        </w:rPr>
        <w:t xml:space="preserve"> </w:t>
      </w:r>
      <w:r w:rsidRPr="008313ED">
        <w:rPr>
          <w:rFonts w:asciiTheme="minorHAnsi" w:hAnsiTheme="minorHAnsi"/>
        </w:rPr>
        <w:t>under</w:t>
      </w:r>
      <w:r w:rsidRPr="008313ED">
        <w:rPr>
          <w:rFonts w:asciiTheme="minorHAnsi" w:hAnsiTheme="minorHAnsi"/>
          <w:spacing w:val="-4"/>
        </w:rPr>
        <w:t xml:space="preserve"> </w:t>
      </w:r>
      <w:r w:rsidR="003F2F28" w:rsidRPr="008313ED">
        <w:rPr>
          <w:rFonts w:asciiTheme="minorHAnsi" w:hAnsiTheme="minorHAnsi"/>
        </w:rPr>
        <w:t>Hot Spots</w:t>
      </w:r>
      <w:r w:rsidRPr="008313ED">
        <w:rPr>
          <w:rFonts w:asciiTheme="minorHAnsi" w:hAnsiTheme="minorHAnsi"/>
        </w:rPr>
        <w:t>?</w:t>
      </w:r>
      <w:bookmarkEnd w:id="17"/>
    </w:p>
    <w:p w14:paraId="74B6D74D" w14:textId="1E8D1F98" w:rsidR="00A9000B" w:rsidRPr="008313ED" w:rsidRDefault="00A9000B" w:rsidP="00A9000B">
      <w:pPr>
        <w:suppressAutoHyphens/>
        <w:spacing w:after="240"/>
        <w:ind w:right="576"/>
        <w:rPr>
          <w:rFonts w:asciiTheme="minorHAnsi" w:hAnsiTheme="minorHAnsi"/>
        </w:rPr>
      </w:pPr>
      <w:r w:rsidRPr="008313ED">
        <w:rPr>
          <w:rFonts w:asciiTheme="minorHAnsi" w:hAnsiTheme="minorHAnsi"/>
          <w:spacing w:val="1"/>
        </w:rPr>
        <w:t xml:space="preserve">Cumulative effects can be addressed in various ways under EICG and the </w:t>
      </w:r>
      <w:r w:rsidR="003F2F28" w:rsidRPr="008313ED">
        <w:rPr>
          <w:rFonts w:asciiTheme="minorHAnsi" w:hAnsiTheme="minorHAnsi"/>
          <w:spacing w:val="1"/>
        </w:rPr>
        <w:t>Hot Spots</w:t>
      </w:r>
      <w:r w:rsidRPr="008313ED">
        <w:rPr>
          <w:rFonts w:asciiTheme="minorHAnsi" w:hAnsiTheme="minorHAnsi"/>
          <w:spacing w:val="1"/>
        </w:rPr>
        <w:t xml:space="preserve"> Statute. Under the AB 2588 Statute, within the legislative findings, Section 44301(d) says “these releases may create localized concentrations of air toxics </w:t>
      </w:r>
      <w:r w:rsidR="003F2F28" w:rsidRPr="008313ED">
        <w:rPr>
          <w:rFonts w:asciiTheme="minorHAnsi" w:hAnsiTheme="minorHAnsi"/>
          <w:spacing w:val="1"/>
        </w:rPr>
        <w:t>Hot Spots</w:t>
      </w:r>
      <w:r w:rsidRPr="008313ED">
        <w:rPr>
          <w:rFonts w:asciiTheme="minorHAnsi" w:hAnsiTheme="minorHAnsi"/>
          <w:spacing w:val="1"/>
        </w:rPr>
        <w:t xml:space="preserve"> where emission from specific sources may expose individuals and population groups to elevated risk of adverse health effects including, but not limited to, cancer and contribute to the cumulative health risks of emissions from other sources in the area.” </w:t>
      </w:r>
      <w:r w:rsidRPr="008313ED">
        <w:rPr>
          <w:rFonts w:asciiTheme="minorHAnsi" w:hAnsiTheme="minorHAnsi"/>
        </w:rPr>
        <w:t xml:space="preserve">The </w:t>
      </w:r>
      <w:r w:rsidR="00BB4EB6" w:rsidRPr="008313ED">
        <w:rPr>
          <w:rFonts w:asciiTheme="minorHAnsi" w:hAnsiTheme="minorHAnsi"/>
        </w:rPr>
        <w:t>Hot Spots</w:t>
      </w:r>
      <w:r w:rsidRPr="008313ED">
        <w:rPr>
          <w:rFonts w:asciiTheme="minorHAnsi" w:hAnsiTheme="minorHAnsi"/>
        </w:rPr>
        <w:t xml:space="preserve"> EICG</w:t>
      </w:r>
      <w:r w:rsidRPr="008313ED" w:rsidDel="00AA43E7">
        <w:rPr>
          <w:rFonts w:asciiTheme="minorHAnsi" w:hAnsiTheme="minorHAnsi"/>
        </w:rPr>
        <w:t xml:space="preserve"> </w:t>
      </w:r>
      <w:r w:rsidR="00AA43E7" w:rsidRPr="008313ED">
        <w:rPr>
          <w:rFonts w:asciiTheme="minorHAnsi" w:hAnsiTheme="minorHAnsi"/>
        </w:rPr>
        <w:t xml:space="preserve">Regulation </w:t>
      </w:r>
      <w:r w:rsidRPr="008313ED">
        <w:rPr>
          <w:rFonts w:asciiTheme="minorHAnsi" w:hAnsiTheme="minorHAnsi"/>
        </w:rPr>
        <w:t>requires that the cumulative emissions from all</w:t>
      </w:r>
      <w:r w:rsidRPr="008313ED">
        <w:rPr>
          <w:rFonts w:asciiTheme="minorHAnsi" w:hAnsiTheme="minorHAnsi"/>
          <w:spacing w:val="1"/>
        </w:rPr>
        <w:t xml:space="preserve"> </w:t>
      </w:r>
      <w:r w:rsidRPr="008313ED">
        <w:rPr>
          <w:rFonts w:asciiTheme="minorHAnsi" w:hAnsiTheme="minorHAnsi"/>
        </w:rPr>
        <w:t>equipment</w:t>
      </w:r>
      <w:r w:rsidRPr="008313ED">
        <w:rPr>
          <w:rFonts w:asciiTheme="minorHAnsi" w:hAnsiTheme="minorHAnsi"/>
          <w:spacing w:val="-2"/>
        </w:rPr>
        <w:t xml:space="preserve"> </w:t>
      </w:r>
      <w:r w:rsidRPr="008313ED">
        <w:rPr>
          <w:rFonts w:asciiTheme="minorHAnsi" w:hAnsiTheme="minorHAnsi"/>
        </w:rPr>
        <w:t>and</w:t>
      </w:r>
      <w:r w:rsidRPr="008313ED">
        <w:rPr>
          <w:rFonts w:asciiTheme="minorHAnsi" w:hAnsiTheme="minorHAnsi"/>
          <w:spacing w:val="-2"/>
        </w:rPr>
        <w:t xml:space="preserve"> </w:t>
      </w:r>
      <w:r w:rsidRPr="008313ED">
        <w:rPr>
          <w:rFonts w:asciiTheme="minorHAnsi" w:hAnsiTheme="minorHAnsi"/>
        </w:rPr>
        <w:t>pollutants</w:t>
      </w:r>
      <w:r w:rsidRPr="008313ED">
        <w:rPr>
          <w:rFonts w:asciiTheme="minorHAnsi" w:hAnsiTheme="minorHAnsi"/>
          <w:spacing w:val="-2"/>
        </w:rPr>
        <w:t xml:space="preserve"> </w:t>
      </w:r>
      <w:r w:rsidRPr="008313ED">
        <w:rPr>
          <w:rFonts w:asciiTheme="minorHAnsi" w:hAnsiTheme="minorHAnsi"/>
        </w:rPr>
        <w:t>at</w:t>
      </w:r>
      <w:r w:rsidRPr="008313ED">
        <w:rPr>
          <w:rFonts w:asciiTheme="minorHAnsi" w:hAnsiTheme="minorHAnsi"/>
          <w:spacing w:val="-2"/>
        </w:rPr>
        <w:t xml:space="preserve"> </w:t>
      </w:r>
      <w:r w:rsidRPr="008313ED">
        <w:rPr>
          <w:rFonts w:asciiTheme="minorHAnsi" w:hAnsiTheme="minorHAnsi"/>
        </w:rPr>
        <w:t>a</w:t>
      </w:r>
      <w:r w:rsidRPr="008313ED">
        <w:rPr>
          <w:rFonts w:asciiTheme="minorHAnsi" w:hAnsiTheme="minorHAnsi"/>
          <w:spacing w:val="-2"/>
        </w:rPr>
        <w:t xml:space="preserve"> </w:t>
      </w:r>
      <w:r w:rsidRPr="008313ED">
        <w:rPr>
          <w:rFonts w:asciiTheme="minorHAnsi" w:hAnsiTheme="minorHAnsi"/>
        </w:rPr>
        <w:t>single</w:t>
      </w:r>
      <w:r w:rsidRPr="008313ED">
        <w:rPr>
          <w:rFonts w:asciiTheme="minorHAnsi" w:hAnsiTheme="minorHAnsi"/>
          <w:spacing w:val="-2"/>
        </w:rPr>
        <w:t xml:space="preserve"> </w:t>
      </w:r>
      <w:r w:rsidRPr="008313ED">
        <w:rPr>
          <w:rFonts w:asciiTheme="minorHAnsi" w:hAnsiTheme="minorHAnsi"/>
          <w:u w:val="single"/>
        </w:rPr>
        <w:t>facility</w:t>
      </w:r>
      <w:r w:rsidRPr="008313ED">
        <w:rPr>
          <w:rFonts w:asciiTheme="minorHAnsi" w:hAnsiTheme="minorHAnsi"/>
          <w:spacing w:val="1"/>
        </w:rPr>
        <w:t xml:space="preserve"> </w:t>
      </w:r>
      <w:r w:rsidRPr="008313ED">
        <w:rPr>
          <w:rFonts w:asciiTheme="minorHAnsi" w:hAnsiTheme="minorHAnsi"/>
        </w:rPr>
        <w:t>be</w:t>
      </w:r>
      <w:r w:rsidRPr="008313ED">
        <w:rPr>
          <w:rFonts w:asciiTheme="minorHAnsi" w:hAnsiTheme="minorHAnsi"/>
          <w:spacing w:val="-2"/>
        </w:rPr>
        <w:t xml:space="preserve"> </w:t>
      </w:r>
      <w:r w:rsidRPr="008313ED">
        <w:rPr>
          <w:rFonts w:asciiTheme="minorHAnsi" w:hAnsiTheme="minorHAnsi"/>
        </w:rPr>
        <w:t>evaluated,</w:t>
      </w:r>
      <w:r w:rsidRPr="008313ED">
        <w:rPr>
          <w:rFonts w:asciiTheme="minorHAnsi" w:hAnsiTheme="minorHAnsi"/>
          <w:spacing w:val="-2"/>
        </w:rPr>
        <w:t xml:space="preserve"> </w:t>
      </w:r>
      <w:r w:rsidRPr="008313ED">
        <w:rPr>
          <w:rFonts w:asciiTheme="minorHAnsi" w:hAnsiTheme="minorHAnsi"/>
        </w:rPr>
        <w:t>but</w:t>
      </w:r>
      <w:r w:rsidRPr="008313ED">
        <w:rPr>
          <w:rFonts w:asciiTheme="minorHAnsi" w:hAnsiTheme="minorHAnsi"/>
          <w:spacing w:val="-2"/>
        </w:rPr>
        <w:t xml:space="preserve"> there are no direct requirements to address </w:t>
      </w:r>
      <w:r w:rsidRPr="008313ED">
        <w:rPr>
          <w:rFonts w:asciiTheme="minorHAnsi" w:hAnsiTheme="minorHAnsi"/>
        </w:rPr>
        <w:t>emissions from multiple facilities within a given</w:t>
      </w:r>
      <w:r w:rsidRPr="008313ED">
        <w:rPr>
          <w:rFonts w:asciiTheme="minorHAnsi" w:hAnsiTheme="minorHAnsi"/>
          <w:spacing w:val="-1"/>
        </w:rPr>
        <w:t xml:space="preserve"> </w:t>
      </w:r>
      <w:r w:rsidRPr="008313ED">
        <w:rPr>
          <w:rFonts w:asciiTheme="minorHAnsi" w:hAnsiTheme="minorHAnsi"/>
        </w:rPr>
        <w:t xml:space="preserve">area. However, provisions were added in the EICG amendments that describe considerations, including cumulative impacts, that districts may consider, such as when reinstating facilities, evaluating </w:t>
      </w:r>
      <w:r w:rsidR="0026359A" w:rsidRPr="008313ED">
        <w:rPr>
          <w:rFonts w:asciiTheme="minorHAnsi" w:hAnsiTheme="minorHAnsi"/>
        </w:rPr>
        <w:t>exemptions,</w:t>
      </w:r>
      <w:r w:rsidRPr="008313ED">
        <w:rPr>
          <w:rFonts w:asciiTheme="minorHAnsi" w:hAnsiTheme="minorHAnsi"/>
        </w:rPr>
        <w:t xml:space="preserve"> </w:t>
      </w:r>
      <w:r w:rsidR="009F640B" w:rsidRPr="008313ED">
        <w:rPr>
          <w:rFonts w:asciiTheme="minorHAnsi" w:hAnsiTheme="minorHAnsi"/>
        </w:rPr>
        <w:t xml:space="preserve">approving permits, </w:t>
      </w:r>
      <w:r w:rsidRPr="008313ED">
        <w:rPr>
          <w:rFonts w:asciiTheme="minorHAnsi" w:hAnsiTheme="minorHAnsi"/>
        </w:rPr>
        <w:t xml:space="preserve">and considering </w:t>
      </w:r>
      <w:r w:rsidR="0D2B7635" w:rsidRPr="008313ED">
        <w:rPr>
          <w:rFonts w:asciiTheme="minorHAnsi" w:hAnsiTheme="minorHAnsi"/>
        </w:rPr>
        <w:t xml:space="preserve">the extent of </w:t>
      </w:r>
      <w:r w:rsidRPr="008313ED">
        <w:rPr>
          <w:rFonts w:asciiTheme="minorHAnsi" w:hAnsiTheme="minorHAnsi"/>
        </w:rPr>
        <w:t>update requirements. For example, EICG Section II states that “the districts may voluntarily consider population-wide impact assessments and the potential for cumulative risk from multiple facilities in granting an exemption from further compliance or in determining reinstatement.”</w:t>
      </w:r>
    </w:p>
    <w:p w14:paraId="0F36CBA6" w14:textId="641AF07F" w:rsidR="00A9000B" w:rsidRPr="008313ED" w:rsidRDefault="00A9000B" w:rsidP="00A9000B">
      <w:pPr>
        <w:suppressAutoHyphens/>
        <w:spacing w:after="240"/>
        <w:ind w:right="576"/>
        <w:rPr>
          <w:rFonts w:asciiTheme="minorHAnsi" w:hAnsiTheme="minorHAnsi"/>
        </w:rPr>
      </w:pPr>
      <w:r w:rsidRPr="008313ED">
        <w:rPr>
          <w:rFonts w:asciiTheme="minorHAnsi" w:hAnsiTheme="minorHAnsi"/>
        </w:rPr>
        <w:t>Other efforts that</w:t>
      </w:r>
      <w:r w:rsidRPr="008313ED" w:rsidDel="00A9000B">
        <w:rPr>
          <w:rFonts w:asciiTheme="minorHAnsi" w:hAnsiTheme="minorHAnsi"/>
        </w:rPr>
        <w:t xml:space="preserve"> </w:t>
      </w:r>
      <w:proofErr w:type="gramStart"/>
      <w:r w:rsidRPr="008313ED">
        <w:rPr>
          <w:rFonts w:asciiTheme="minorHAnsi" w:hAnsiTheme="minorHAnsi"/>
        </w:rPr>
        <w:t>considering</w:t>
      </w:r>
      <w:proofErr w:type="gramEnd"/>
      <w:r w:rsidRPr="008313ED">
        <w:rPr>
          <w:rFonts w:asciiTheme="minorHAnsi" w:hAnsiTheme="minorHAnsi"/>
        </w:rPr>
        <w:t xml:space="preserve"> cumulative impacts include the EPA’s framework for cumulative risk assessment</w:t>
      </w:r>
      <w:r w:rsidR="003564FE" w:rsidRPr="008313ED">
        <w:rPr>
          <w:rFonts w:asciiTheme="minorHAnsi" w:hAnsiTheme="minorHAnsi"/>
        </w:rPr>
        <w:t xml:space="preserve"> and</w:t>
      </w:r>
      <w:r w:rsidR="008E79E4" w:rsidRPr="008313ED">
        <w:rPr>
          <w:rFonts w:asciiTheme="minorHAnsi" w:hAnsiTheme="minorHAnsi"/>
        </w:rPr>
        <w:t xml:space="preserve"> </w:t>
      </w:r>
      <w:r w:rsidRPr="008313ED">
        <w:rPr>
          <w:rFonts w:asciiTheme="minorHAnsi" w:hAnsiTheme="minorHAnsi"/>
        </w:rPr>
        <w:t>CARB’s Industrywide Guidelines for gas service stations.</w:t>
      </w:r>
      <w:r w:rsidRPr="008313ED">
        <w:rPr>
          <w:rStyle w:val="FootnoteReference"/>
          <w:rFonts w:asciiTheme="minorHAnsi" w:hAnsiTheme="minorHAnsi"/>
        </w:rPr>
        <w:footnoteReference w:id="3"/>
      </w:r>
      <w:r w:rsidR="00335940" w:rsidRPr="008313ED">
        <w:rPr>
          <w:rFonts w:asciiTheme="minorHAnsi" w:hAnsiTheme="minorHAnsi"/>
          <w:vertAlign w:val="subscript"/>
        </w:rPr>
        <w:t xml:space="preserve"> </w:t>
      </w:r>
      <w:r w:rsidRPr="008313ED">
        <w:rPr>
          <w:rStyle w:val="FootnoteReference"/>
          <w:rFonts w:asciiTheme="minorHAnsi" w:hAnsiTheme="minorHAnsi"/>
        </w:rPr>
        <w:footnoteReference w:id="4"/>
      </w:r>
      <w:r w:rsidRPr="008313ED">
        <w:rPr>
          <w:rFonts w:asciiTheme="minorHAnsi" w:hAnsiTheme="minorHAnsi"/>
        </w:rPr>
        <w:t xml:space="preserve"> EPA’s cumulative framework identifies the basic elements of the cumulative risk assessment process and provides a flexible structure for conducting and evaluating cumulative risk assessment, and for addressing scientific issues related to cumulative risk. CARB’s gasoline service station industrywide supplemental guidance includes recommendations for gas station operators, local governments, and districts to reduce community scale health impacts from new and existing gas stations, especially in areas where multiple gas station</w:t>
      </w:r>
      <w:r w:rsidR="00B95CAB" w:rsidRPr="008313ED">
        <w:rPr>
          <w:rFonts w:asciiTheme="minorHAnsi" w:hAnsiTheme="minorHAnsi"/>
        </w:rPr>
        <w:t>s</w:t>
      </w:r>
      <w:r w:rsidRPr="008313ED">
        <w:rPr>
          <w:rFonts w:asciiTheme="minorHAnsi" w:hAnsiTheme="minorHAnsi"/>
        </w:rPr>
        <w:t xml:space="preserve"> are clustered near where people live and work.</w:t>
      </w:r>
      <w:r w:rsidRPr="008313ED">
        <w:rPr>
          <w:rFonts w:asciiTheme="minorHAnsi" w:hAnsiTheme="minorHAnsi"/>
          <w:color w:val="2D333D"/>
          <w:sz w:val="26"/>
          <w:szCs w:val="26"/>
          <w:shd w:val="clear" w:color="auto" w:fill="FFFFFF"/>
        </w:rPr>
        <w:t xml:space="preserve"> </w:t>
      </w:r>
      <w:r w:rsidRPr="008313ED">
        <w:rPr>
          <w:rFonts w:asciiTheme="minorHAnsi" w:hAnsiTheme="minorHAnsi"/>
        </w:rPr>
        <w:t xml:space="preserve"> </w:t>
      </w:r>
      <w:r w:rsidR="003564FE" w:rsidRPr="008313ED">
        <w:rPr>
          <w:rFonts w:asciiTheme="minorHAnsi" w:eastAsia="Times New Roman" w:hAnsiTheme="minorHAnsi"/>
        </w:rPr>
        <w:t xml:space="preserve">In addition, </w:t>
      </w:r>
      <w:r w:rsidR="00A530A4" w:rsidRPr="008313ED">
        <w:rPr>
          <w:rFonts w:asciiTheme="minorHAnsi" w:eastAsia="Times New Roman" w:hAnsiTheme="minorHAnsi"/>
        </w:rPr>
        <w:t xml:space="preserve">The California Air Toxics Assessment (CATA) represents a comprehensive state-of-the-science assessment of toxic air contaminants (TACs) in California. CATA is a </w:t>
      </w:r>
      <w:r w:rsidR="00E8263E" w:rsidRPr="008313ED">
        <w:rPr>
          <w:rFonts w:asciiTheme="minorHAnsi" w:eastAsia="Times New Roman" w:hAnsiTheme="minorHAnsi"/>
        </w:rPr>
        <w:t xml:space="preserve">unique </w:t>
      </w:r>
      <w:r w:rsidR="00A530A4" w:rsidRPr="008313ED">
        <w:rPr>
          <w:rFonts w:asciiTheme="minorHAnsi" w:eastAsia="Times New Roman" w:hAnsiTheme="minorHAnsi"/>
        </w:rPr>
        <w:t>model-based approach that leverages CARB’s comprehensive TACs emissions inventory and state-</w:t>
      </w:r>
      <w:proofErr w:type="gramStart"/>
      <w:r w:rsidR="00A530A4" w:rsidRPr="008313ED">
        <w:rPr>
          <w:rFonts w:asciiTheme="minorHAnsi" w:eastAsia="Times New Roman" w:hAnsiTheme="minorHAnsi"/>
        </w:rPr>
        <w:t>of-the-science</w:t>
      </w:r>
      <w:proofErr w:type="gramEnd"/>
      <w:r w:rsidR="00A530A4" w:rsidRPr="008313ED">
        <w:rPr>
          <w:rFonts w:asciiTheme="minorHAnsi" w:eastAsia="Times New Roman" w:hAnsiTheme="minorHAnsi"/>
        </w:rPr>
        <w:t xml:space="preserve"> modeling techniques to estimate ambient concentrations of Diesel Particulate Matter (DPM), heavy metals, and toxic Volatile Organic Compounds (VOCs), which are used to estimate cumulative cancer risk following OEHHA guidelines for inhalation exposure. CATA results are scalable from statewide averages down to the community level (census block/tract</w:t>
      </w:r>
      <w:r w:rsidR="00181DCC" w:rsidRPr="008313ED">
        <w:rPr>
          <w:rFonts w:asciiTheme="minorHAnsi" w:eastAsia="Times New Roman" w:hAnsiTheme="minorHAnsi"/>
        </w:rPr>
        <w:t xml:space="preserve"> averages</w:t>
      </w:r>
      <w:r w:rsidR="00A530A4" w:rsidRPr="008313ED">
        <w:rPr>
          <w:rFonts w:asciiTheme="minorHAnsi" w:eastAsia="Times New Roman" w:hAnsiTheme="minorHAnsi"/>
        </w:rPr>
        <w:t>)</w:t>
      </w:r>
      <w:r w:rsidR="00181DCC" w:rsidRPr="008313ED">
        <w:rPr>
          <w:rFonts w:asciiTheme="minorHAnsi" w:eastAsia="Times New Roman" w:hAnsiTheme="minorHAnsi"/>
        </w:rPr>
        <w:t>, which may be different from maximum cumulative risk at a specific location within a census</w:t>
      </w:r>
      <w:r w:rsidR="002635A4" w:rsidRPr="008313ED">
        <w:rPr>
          <w:rFonts w:asciiTheme="minorHAnsi" w:eastAsia="Times New Roman" w:hAnsiTheme="minorHAnsi"/>
        </w:rPr>
        <w:t xml:space="preserve"> block/tract</w:t>
      </w:r>
      <w:r w:rsidR="00A530A4" w:rsidRPr="008313ED">
        <w:rPr>
          <w:rFonts w:asciiTheme="minorHAnsi" w:eastAsia="Times New Roman" w:hAnsiTheme="minorHAnsi"/>
        </w:rPr>
        <w:t>. CATA</w:t>
      </w:r>
      <w:r w:rsidR="00372B19" w:rsidRPr="008313ED">
        <w:rPr>
          <w:rFonts w:asciiTheme="minorHAnsi" w:eastAsia="Times New Roman" w:hAnsiTheme="minorHAnsi"/>
        </w:rPr>
        <w:t xml:space="preserve"> is </w:t>
      </w:r>
      <w:r w:rsidR="003B19EE" w:rsidRPr="008313ED">
        <w:rPr>
          <w:rFonts w:asciiTheme="minorHAnsi" w:eastAsia="Times New Roman" w:hAnsiTheme="minorHAnsi"/>
        </w:rPr>
        <w:t>updated on</w:t>
      </w:r>
      <w:r w:rsidR="00A530A4" w:rsidRPr="008313ED">
        <w:rPr>
          <w:rFonts w:asciiTheme="minorHAnsi" w:eastAsia="Times New Roman" w:hAnsiTheme="minorHAnsi"/>
        </w:rPr>
        <w:t xml:space="preserve"> a triennial basis and will incorporate</w:t>
      </w:r>
      <w:r w:rsidR="004554DA" w:rsidRPr="008313ED">
        <w:rPr>
          <w:rFonts w:asciiTheme="minorHAnsi" w:eastAsia="Times New Roman" w:hAnsiTheme="minorHAnsi"/>
        </w:rPr>
        <w:t xml:space="preserve"> EICG reported data through</w:t>
      </w:r>
      <w:r w:rsidR="00A530A4" w:rsidRPr="008313ED">
        <w:rPr>
          <w:rFonts w:asciiTheme="minorHAnsi" w:eastAsia="Times New Roman" w:hAnsiTheme="minorHAnsi"/>
        </w:rPr>
        <w:t xml:space="preserve"> </w:t>
      </w:r>
      <w:r w:rsidR="009C312A" w:rsidRPr="008313ED">
        <w:rPr>
          <w:rFonts w:asciiTheme="minorHAnsi" w:eastAsia="Times New Roman" w:hAnsiTheme="minorHAnsi"/>
        </w:rPr>
        <w:t>the Comprehensive</w:t>
      </w:r>
      <w:r w:rsidR="00C6124B" w:rsidRPr="008313ED">
        <w:rPr>
          <w:rFonts w:asciiTheme="minorHAnsi" w:eastAsia="Times New Roman" w:hAnsiTheme="minorHAnsi"/>
        </w:rPr>
        <w:t xml:space="preserve"> California</w:t>
      </w:r>
      <w:r w:rsidR="009C312A" w:rsidRPr="008313ED">
        <w:rPr>
          <w:rFonts w:asciiTheme="minorHAnsi" w:eastAsia="Times New Roman" w:hAnsiTheme="minorHAnsi"/>
        </w:rPr>
        <w:t xml:space="preserve"> Toxics Inventory (CTI) </w:t>
      </w:r>
      <w:r w:rsidR="00A530A4" w:rsidRPr="008313ED">
        <w:rPr>
          <w:rFonts w:asciiTheme="minorHAnsi" w:eastAsia="Times New Roman" w:hAnsiTheme="minorHAnsi"/>
        </w:rPr>
        <w:t>as</w:t>
      </w:r>
      <w:r w:rsidR="003763CB" w:rsidRPr="008313ED">
        <w:rPr>
          <w:rFonts w:asciiTheme="minorHAnsi" w:eastAsia="Times New Roman" w:hAnsiTheme="minorHAnsi"/>
        </w:rPr>
        <w:t xml:space="preserve"> it</w:t>
      </w:r>
      <w:r w:rsidR="00A530A4" w:rsidRPr="008313ED">
        <w:rPr>
          <w:rFonts w:asciiTheme="minorHAnsi" w:eastAsia="Times New Roman" w:hAnsiTheme="minorHAnsi"/>
        </w:rPr>
        <w:t xml:space="preserve"> become</w:t>
      </w:r>
      <w:r w:rsidR="003763CB" w:rsidRPr="008313ED">
        <w:rPr>
          <w:rFonts w:asciiTheme="minorHAnsi" w:eastAsia="Times New Roman" w:hAnsiTheme="minorHAnsi"/>
        </w:rPr>
        <w:t>s</w:t>
      </w:r>
      <w:r w:rsidR="00A530A4" w:rsidRPr="008313ED">
        <w:rPr>
          <w:rFonts w:asciiTheme="minorHAnsi" w:eastAsia="Times New Roman" w:hAnsiTheme="minorHAnsi"/>
        </w:rPr>
        <w:t xml:space="preserve"> available.</w:t>
      </w:r>
    </w:p>
    <w:p w14:paraId="7FEF1BB4" w14:textId="3C0C1436" w:rsidR="00240684" w:rsidRPr="008313ED" w:rsidRDefault="6A79A0BF" w:rsidP="000148BF">
      <w:pPr>
        <w:pStyle w:val="Heading3"/>
        <w:rPr>
          <w:rFonts w:asciiTheme="minorHAnsi" w:hAnsiTheme="minorHAnsi"/>
        </w:rPr>
      </w:pPr>
      <w:bookmarkStart w:id="18" w:name="_Toc187305854"/>
      <w:r w:rsidRPr="008313ED">
        <w:rPr>
          <w:rFonts w:asciiTheme="minorHAnsi" w:hAnsiTheme="minorHAnsi"/>
        </w:rPr>
        <w:t xml:space="preserve">Can </w:t>
      </w:r>
      <w:r w:rsidR="57B922E7" w:rsidRPr="008313ED">
        <w:rPr>
          <w:rFonts w:asciiTheme="minorHAnsi" w:hAnsiTheme="minorHAnsi"/>
        </w:rPr>
        <w:t>D</w:t>
      </w:r>
      <w:r w:rsidRPr="008313ED">
        <w:rPr>
          <w:rFonts w:asciiTheme="minorHAnsi" w:hAnsiTheme="minorHAnsi"/>
        </w:rPr>
        <w:t xml:space="preserve">istricts establish more stringent requirements than those specified in the EICG </w:t>
      </w:r>
      <w:r w:rsidR="00AA43E7" w:rsidRPr="008313ED">
        <w:rPr>
          <w:rFonts w:asciiTheme="minorHAnsi" w:hAnsiTheme="minorHAnsi"/>
        </w:rPr>
        <w:t>Regulation</w:t>
      </w:r>
      <w:r w:rsidR="57B922E7" w:rsidRPr="008313ED">
        <w:rPr>
          <w:rFonts w:asciiTheme="minorHAnsi" w:hAnsiTheme="minorHAnsi"/>
        </w:rPr>
        <w:t>?</w:t>
      </w:r>
      <w:bookmarkEnd w:id="18"/>
    </w:p>
    <w:p w14:paraId="3CDD51BE" w14:textId="71189DE1" w:rsidR="000148BF" w:rsidRPr="008313ED" w:rsidRDefault="00062C2E" w:rsidP="000148BF">
      <w:pPr>
        <w:pStyle w:val="NoSpacing"/>
        <w:rPr>
          <w:rFonts w:asciiTheme="minorHAnsi" w:hAnsiTheme="minorHAnsi"/>
        </w:rPr>
      </w:pPr>
      <w:r w:rsidRPr="008313ED">
        <w:rPr>
          <w:rFonts w:asciiTheme="minorHAnsi" w:hAnsiTheme="minorHAnsi"/>
        </w:rPr>
        <w:t>HSC</w:t>
      </w:r>
      <w:r w:rsidR="00240684" w:rsidRPr="008313ED">
        <w:rPr>
          <w:rFonts w:asciiTheme="minorHAnsi" w:hAnsiTheme="minorHAnsi"/>
        </w:rPr>
        <w:t xml:space="preserve"> </w:t>
      </w:r>
      <w:r w:rsidRPr="008313ED">
        <w:rPr>
          <w:rFonts w:asciiTheme="minorHAnsi" w:hAnsiTheme="minorHAnsi"/>
        </w:rPr>
        <w:t>§</w:t>
      </w:r>
      <w:r w:rsidR="00240684" w:rsidRPr="008313ED">
        <w:rPr>
          <w:rFonts w:asciiTheme="minorHAnsi" w:hAnsiTheme="minorHAnsi"/>
        </w:rPr>
        <w:t xml:space="preserve">44365(b), 39002, and 40702 give districts the authority to establish more stringent criteria and requirements for the approval of emission inventories than those specified in the </w:t>
      </w:r>
      <w:r w:rsidR="00BE19C6" w:rsidRPr="008313ED">
        <w:rPr>
          <w:rFonts w:asciiTheme="minorHAnsi" w:hAnsiTheme="minorHAnsi"/>
        </w:rPr>
        <w:t>EICG</w:t>
      </w:r>
      <w:r w:rsidR="00240684" w:rsidRPr="008313ED">
        <w:rPr>
          <w:rFonts w:asciiTheme="minorHAnsi" w:hAnsiTheme="minorHAnsi"/>
        </w:rPr>
        <w:t xml:space="preserve">. </w:t>
      </w:r>
      <w:r w:rsidR="00B95CAB" w:rsidRPr="008313ED">
        <w:rPr>
          <w:rFonts w:asciiTheme="minorHAnsi" w:hAnsiTheme="minorHAnsi"/>
        </w:rPr>
        <w:t>For example,</w:t>
      </w:r>
      <w:r w:rsidR="00240684" w:rsidRPr="008313ED">
        <w:rPr>
          <w:rFonts w:asciiTheme="minorHAnsi" w:hAnsiTheme="minorHAnsi"/>
        </w:rPr>
        <w:t xml:space="preserve"> districts can require source testing for processes or substances not listed in Appendix D if they believe the source is significant and that the source test will provide a better characterization of emissions than an estimation method.  Districts can also require additional information for source test protocols if they believe the information is needed to ensure adequate source test results.</w:t>
      </w:r>
    </w:p>
    <w:p w14:paraId="1729A172" w14:textId="52480F30" w:rsidR="00240684" w:rsidRPr="008313ED" w:rsidRDefault="6A79A0BF" w:rsidP="008969FF">
      <w:pPr>
        <w:pStyle w:val="Heading3"/>
        <w:rPr>
          <w:rFonts w:asciiTheme="minorHAnsi" w:hAnsiTheme="minorHAnsi"/>
        </w:rPr>
      </w:pPr>
      <w:bookmarkStart w:id="19" w:name="_Toc187305855"/>
      <w:r w:rsidRPr="008313ED">
        <w:rPr>
          <w:rFonts w:asciiTheme="minorHAnsi" w:hAnsiTheme="minorHAnsi"/>
        </w:rPr>
        <w:t>Is there a remote location exemption</w:t>
      </w:r>
      <w:r w:rsidR="00B42A74" w:rsidRPr="008313ED">
        <w:rPr>
          <w:rFonts w:asciiTheme="minorHAnsi" w:hAnsiTheme="minorHAnsi"/>
        </w:rPr>
        <w:t xml:space="preserve"> from reporting under the Hot Spots </w:t>
      </w:r>
      <w:r w:rsidR="00FE0ADB" w:rsidRPr="008313ED">
        <w:rPr>
          <w:rFonts w:asciiTheme="minorHAnsi" w:hAnsiTheme="minorHAnsi"/>
        </w:rPr>
        <w:t>Program</w:t>
      </w:r>
      <w:r w:rsidRPr="008313ED">
        <w:rPr>
          <w:rFonts w:asciiTheme="minorHAnsi" w:hAnsiTheme="minorHAnsi"/>
        </w:rPr>
        <w:t>?</w:t>
      </w:r>
      <w:bookmarkEnd w:id="19"/>
      <w:r w:rsidRPr="008313ED">
        <w:rPr>
          <w:rFonts w:asciiTheme="minorHAnsi" w:hAnsiTheme="minorHAnsi"/>
        </w:rPr>
        <w:t xml:space="preserve"> </w:t>
      </w:r>
    </w:p>
    <w:p w14:paraId="6C65202D" w14:textId="16C51057" w:rsidR="00240684" w:rsidRPr="008313ED" w:rsidRDefault="00240684" w:rsidP="00A9000B">
      <w:pPr>
        <w:rPr>
          <w:rFonts w:asciiTheme="minorHAnsi" w:hAnsiTheme="minorHAnsi"/>
        </w:rPr>
      </w:pPr>
      <w:r w:rsidRPr="008313ED">
        <w:rPr>
          <w:rFonts w:asciiTheme="minorHAnsi" w:hAnsiTheme="minorHAnsi"/>
        </w:rPr>
        <w:t xml:space="preserve">No, all facilities subject to </w:t>
      </w:r>
      <w:r w:rsidR="00BB4EB6" w:rsidRPr="008313ED">
        <w:rPr>
          <w:rFonts w:asciiTheme="minorHAnsi" w:hAnsiTheme="minorHAnsi"/>
        </w:rPr>
        <w:t>Hot Spots</w:t>
      </w:r>
      <w:r w:rsidRPr="008313ED">
        <w:rPr>
          <w:rFonts w:asciiTheme="minorHAnsi" w:hAnsiTheme="minorHAnsi"/>
        </w:rPr>
        <w:t xml:space="preserve"> must report their emissions.</w:t>
      </w:r>
      <w:r w:rsidRPr="008313ED">
        <w:rPr>
          <w:rFonts w:asciiTheme="minorHAnsi" w:hAnsiTheme="minorHAnsi"/>
          <w:spacing w:val="1"/>
        </w:rPr>
        <w:t xml:space="preserve"> </w:t>
      </w:r>
      <w:r w:rsidRPr="008313ED">
        <w:rPr>
          <w:rFonts w:asciiTheme="minorHAnsi" w:hAnsiTheme="minorHAnsi"/>
        </w:rPr>
        <w:t xml:space="preserve">However, because </w:t>
      </w:r>
      <w:r w:rsidR="00BB4EB6" w:rsidRPr="008313ED">
        <w:rPr>
          <w:rFonts w:asciiTheme="minorHAnsi" w:hAnsiTheme="minorHAnsi"/>
        </w:rPr>
        <w:t>Hot Spots</w:t>
      </w:r>
      <w:r w:rsidRPr="008313ED">
        <w:rPr>
          <w:rFonts w:asciiTheme="minorHAnsi" w:hAnsiTheme="minorHAnsi"/>
          <w:spacing w:val="-6"/>
        </w:rPr>
        <w:t xml:space="preserve"> </w:t>
      </w:r>
      <w:proofErr w:type="gramStart"/>
      <w:r w:rsidRPr="008313ED">
        <w:rPr>
          <w:rFonts w:asciiTheme="minorHAnsi" w:hAnsiTheme="minorHAnsi"/>
        </w:rPr>
        <w:t>is</w:t>
      </w:r>
      <w:proofErr w:type="gramEnd"/>
      <w:r w:rsidRPr="008313ED">
        <w:rPr>
          <w:rFonts w:asciiTheme="minorHAnsi" w:hAnsiTheme="minorHAnsi"/>
          <w:spacing w:val="-3"/>
        </w:rPr>
        <w:t xml:space="preserve"> </w:t>
      </w:r>
      <w:r w:rsidRPr="008313ED">
        <w:rPr>
          <w:rFonts w:asciiTheme="minorHAnsi" w:hAnsiTheme="minorHAnsi"/>
        </w:rPr>
        <w:t>risk</w:t>
      </w:r>
      <w:r w:rsidRPr="008313ED">
        <w:rPr>
          <w:rFonts w:asciiTheme="minorHAnsi" w:hAnsiTheme="minorHAnsi"/>
          <w:spacing w:val="-4"/>
        </w:rPr>
        <w:t xml:space="preserve"> </w:t>
      </w:r>
      <w:r w:rsidRPr="008313ED">
        <w:rPr>
          <w:rFonts w:asciiTheme="minorHAnsi" w:hAnsiTheme="minorHAnsi"/>
        </w:rPr>
        <w:t>based,</w:t>
      </w:r>
      <w:r w:rsidRPr="008313ED">
        <w:rPr>
          <w:rFonts w:asciiTheme="minorHAnsi" w:hAnsiTheme="minorHAnsi"/>
          <w:spacing w:val="-3"/>
        </w:rPr>
        <w:t xml:space="preserve"> </w:t>
      </w:r>
      <w:r w:rsidRPr="008313ED">
        <w:rPr>
          <w:rFonts w:asciiTheme="minorHAnsi" w:hAnsiTheme="minorHAnsi"/>
        </w:rPr>
        <w:t>emissions</w:t>
      </w:r>
      <w:r w:rsidRPr="008313ED">
        <w:rPr>
          <w:rFonts w:asciiTheme="minorHAnsi" w:hAnsiTheme="minorHAnsi"/>
          <w:spacing w:val="-4"/>
        </w:rPr>
        <w:t xml:space="preserve"> </w:t>
      </w:r>
      <w:r w:rsidRPr="008313ED">
        <w:rPr>
          <w:rFonts w:asciiTheme="minorHAnsi" w:hAnsiTheme="minorHAnsi"/>
        </w:rPr>
        <w:t>that</w:t>
      </w:r>
      <w:r w:rsidRPr="008313ED">
        <w:rPr>
          <w:rFonts w:asciiTheme="minorHAnsi" w:hAnsiTheme="minorHAnsi"/>
          <w:spacing w:val="-3"/>
        </w:rPr>
        <w:t xml:space="preserve"> </w:t>
      </w:r>
      <w:r w:rsidRPr="008313ED">
        <w:rPr>
          <w:rFonts w:asciiTheme="minorHAnsi" w:hAnsiTheme="minorHAnsi"/>
        </w:rPr>
        <w:t>occur</w:t>
      </w:r>
      <w:r w:rsidRPr="008313ED">
        <w:rPr>
          <w:rFonts w:asciiTheme="minorHAnsi" w:hAnsiTheme="minorHAnsi"/>
          <w:spacing w:val="-3"/>
        </w:rPr>
        <w:t xml:space="preserve"> </w:t>
      </w:r>
      <w:r w:rsidRPr="008313ED">
        <w:rPr>
          <w:rFonts w:asciiTheme="minorHAnsi" w:hAnsiTheme="minorHAnsi"/>
        </w:rPr>
        <w:t>far</w:t>
      </w:r>
      <w:r w:rsidRPr="008313ED">
        <w:rPr>
          <w:rFonts w:asciiTheme="minorHAnsi" w:hAnsiTheme="minorHAnsi"/>
          <w:spacing w:val="-1"/>
        </w:rPr>
        <w:t xml:space="preserve"> </w:t>
      </w:r>
      <w:r w:rsidRPr="008313ED">
        <w:rPr>
          <w:rFonts w:asciiTheme="minorHAnsi" w:hAnsiTheme="minorHAnsi"/>
        </w:rPr>
        <w:t>away</w:t>
      </w:r>
      <w:r w:rsidRPr="008313ED">
        <w:rPr>
          <w:rFonts w:asciiTheme="minorHAnsi" w:hAnsiTheme="minorHAnsi"/>
          <w:spacing w:val="-3"/>
        </w:rPr>
        <w:t xml:space="preserve"> </w:t>
      </w:r>
      <w:r w:rsidRPr="008313ED">
        <w:rPr>
          <w:rFonts w:asciiTheme="minorHAnsi" w:hAnsiTheme="minorHAnsi"/>
        </w:rPr>
        <w:t>from</w:t>
      </w:r>
      <w:r w:rsidRPr="008313ED">
        <w:rPr>
          <w:rFonts w:asciiTheme="minorHAnsi" w:hAnsiTheme="minorHAnsi"/>
          <w:spacing w:val="-4"/>
        </w:rPr>
        <w:t xml:space="preserve"> </w:t>
      </w:r>
      <w:r w:rsidRPr="008313ED">
        <w:rPr>
          <w:rFonts w:asciiTheme="minorHAnsi" w:hAnsiTheme="minorHAnsi"/>
        </w:rPr>
        <w:t>people</w:t>
      </w:r>
      <w:r w:rsidRPr="008313ED">
        <w:rPr>
          <w:rFonts w:asciiTheme="minorHAnsi" w:hAnsiTheme="minorHAnsi"/>
          <w:spacing w:val="-3"/>
        </w:rPr>
        <w:t xml:space="preserve"> </w:t>
      </w:r>
      <w:r w:rsidRPr="008313ED">
        <w:rPr>
          <w:rFonts w:asciiTheme="minorHAnsi" w:hAnsiTheme="minorHAnsi"/>
        </w:rPr>
        <w:t>and</w:t>
      </w:r>
      <w:r w:rsidRPr="008313ED">
        <w:rPr>
          <w:rFonts w:asciiTheme="minorHAnsi" w:hAnsiTheme="minorHAnsi"/>
          <w:spacing w:val="-4"/>
        </w:rPr>
        <w:t xml:space="preserve"> </w:t>
      </w:r>
      <w:r w:rsidRPr="008313ED">
        <w:rPr>
          <w:rFonts w:asciiTheme="minorHAnsi" w:hAnsiTheme="minorHAnsi"/>
        </w:rPr>
        <w:t>residences</w:t>
      </w:r>
      <w:r w:rsidRPr="008313ED">
        <w:rPr>
          <w:rFonts w:asciiTheme="minorHAnsi" w:hAnsiTheme="minorHAnsi"/>
          <w:spacing w:val="-2"/>
        </w:rPr>
        <w:t xml:space="preserve"> have less impact on </w:t>
      </w:r>
      <w:r w:rsidRPr="008313ED">
        <w:rPr>
          <w:rFonts w:asciiTheme="minorHAnsi" w:hAnsiTheme="minorHAnsi"/>
        </w:rPr>
        <w:t>public</w:t>
      </w:r>
      <w:r w:rsidRPr="008313ED">
        <w:rPr>
          <w:rFonts w:asciiTheme="minorHAnsi" w:hAnsiTheme="minorHAnsi"/>
          <w:spacing w:val="-2"/>
        </w:rPr>
        <w:t xml:space="preserve"> </w:t>
      </w:r>
      <w:r w:rsidR="00B95CAB" w:rsidRPr="008313ED">
        <w:rPr>
          <w:rFonts w:asciiTheme="minorHAnsi" w:hAnsiTheme="minorHAnsi"/>
        </w:rPr>
        <w:t>health and</w:t>
      </w:r>
      <w:r w:rsidRPr="008313ED">
        <w:rPr>
          <w:rFonts w:asciiTheme="minorHAnsi" w:hAnsiTheme="minorHAnsi"/>
          <w:spacing w:val="-1"/>
        </w:rPr>
        <w:t xml:space="preserve"> </w:t>
      </w:r>
      <w:r w:rsidRPr="008313ED">
        <w:rPr>
          <w:rFonts w:asciiTheme="minorHAnsi" w:hAnsiTheme="minorHAnsi"/>
        </w:rPr>
        <w:t>are less likely to require a</w:t>
      </w:r>
      <w:r w:rsidRPr="008313ED">
        <w:rPr>
          <w:rFonts w:asciiTheme="minorHAnsi" w:hAnsiTheme="minorHAnsi"/>
          <w:spacing w:val="-2"/>
        </w:rPr>
        <w:t xml:space="preserve"> </w:t>
      </w:r>
      <w:r w:rsidRPr="008313ED">
        <w:rPr>
          <w:rFonts w:asciiTheme="minorHAnsi" w:hAnsiTheme="minorHAnsi"/>
        </w:rPr>
        <w:t>risk</w:t>
      </w:r>
      <w:r w:rsidRPr="008313ED">
        <w:rPr>
          <w:rFonts w:asciiTheme="minorHAnsi" w:hAnsiTheme="minorHAnsi"/>
          <w:spacing w:val="-1"/>
        </w:rPr>
        <w:t xml:space="preserve"> </w:t>
      </w:r>
      <w:r w:rsidRPr="008313ED">
        <w:rPr>
          <w:rFonts w:asciiTheme="minorHAnsi" w:hAnsiTheme="minorHAnsi"/>
        </w:rPr>
        <w:t>assessment.</w:t>
      </w:r>
    </w:p>
    <w:p w14:paraId="259E1787" w14:textId="3B615ABF" w:rsidR="00EC5988" w:rsidRPr="008313ED" w:rsidRDefault="17683401" w:rsidP="008969FF">
      <w:pPr>
        <w:pStyle w:val="Heading3"/>
        <w:rPr>
          <w:rFonts w:asciiTheme="minorHAnsi" w:hAnsiTheme="minorHAnsi"/>
        </w:rPr>
      </w:pPr>
      <w:bookmarkStart w:id="20" w:name="_Toc187305856"/>
      <w:r w:rsidRPr="008313ED">
        <w:rPr>
          <w:rFonts w:asciiTheme="minorHAnsi" w:hAnsiTheme="minorHAnsi"/>
        </w:rPr>
        <w:t xml:space="preserve">How can a facility submit to the district an </w:t>
      </w:r>
      <w:r w:rsidR="65C563E1" w:rsidRPr="008313ED">
        <w:rPr>
          <w:rFonts w:asciiTheme="minorHAnsi" w:hAnsiTheme="minorHAnsi"/>
        </w:rPr>
        <w:t>“</w:t>
      </w:r>
      <w:r w:rsidRPr="008313ED">
        <w:rPr>
          <w:rFonts w:asciiTheme="minorHAnsi" w:hAnsiTheme="minorHAnsi"/>
        </w:rPr>
        <w:t>Update Emissions Summary Form</w:t>
      </w:r>
      <w:r w:rsidR="65C563E1" w:rsidRPr="008313ED">
        <w:rPr>
          <w:rFonts w:asciiTheme="minorHAnsi" w:hAnsiTheme="minorHAnsi"/>
        </w:rPr>
        <w:t>”</w:t>
      </w:r>
      <w:r w:rsidRPr="008313ED">
        <w:rPr>
          <w:rFonts w:asciiTheme="minorHAnsi" w:hAnsiTheme="minorHAnsi"/>
        </w:rPr>
        <w:t xml:space="preserve"> that can be used to modify prioritization, health risk assessment values and demonstrate reductions in risk?</w:t>
      </w:r>
      <w:bookmarkEnd w:id="20"/>
      <w:r w:rsidRPr="008313ED">
        <w:rPr>
          <w:rFonts w:asciiTheme="minorHAnsi" w:hAnsiTheme="minorHAnsi"/>
        </w:rPr>
        <w:t xml:space="preserve"> </w:t>
      </w:r>
    </w:p>
    <w:p w14:paraId="42EDC055" w14:textId="663BFCC1" w:rsidR="00EC5988" w:rsidRPr="008313ED" w:rsidRDefault="00EC5988" w:rsidP="00EC5988">
      <w:pPr>
        <w:rPr>
          <w:rFonts w:asciiTheme="minorHAnsi" w:hAnsiTheme="minorHAnsi"/>
        </w:rPr>
      </w:pPr>
      <w:r w:rsidRPr="008313ED">
        <w:rPr>
          <w:rFonts w:asciiTheme="minorHAnsi" w:hAnsiTheme="minorHAnsi"/>
          <w:spacing w:val="1"/>
        </w:rPr>
        <w:t xml:space="preserve">In EICG Section </w:t>
      </w:r>
      <w:r w:rsidR="443D5C54" w:rsidRPr="008313ED">
        <w:rPr>
          <w:rFonts w:asciiTheme="minorHAnsi" w:hAnsiTheme="minorHAnsi"/>
          <w:spacing w:val="1"/>
        </w:rPr>
        <w:t>V.G.,</w:t>
      </w:r>
      <w:r w:rsidRPr="008313ED">
        <w:rPr>
          <w:rFonts w:asciiTheme="minorHAnsi" w:hAnsiTheme="minorHAnsi"/>
          <w:spacing w:val="1"/>
        </w:rPr>
        <w:t xml:space="preserve"> </w:t>
      </w:r>
      <w:r w:rsidRPr="008313ED">
        <w:rPr>
          <w:rFonts w:asciiTheme="minorHAnsi" w:hAnsiTheme="minorHAnsi"/>
        </w:rPr>
        <w:t>if a facility’s previous emission inventory report has been approved by the district</w:t>
      </w:r>
      <w:r w:rsidR="006F22F2" w:rsidRPr="008313ED">
        <w:rPr>
          <w:rFonts w:asciiTheme="minorHAnsi" w:hAnsiTheme="minorHAnsi"/>
        </w:rPr>
        <w:t>,</w:t>
      </w:r>
      <w:r w:rsidRPr="008313ED">
        <w:rPr>
          <w:rFonts w:asciiTheme="minorHAnsi" w:hAnsiTheme="minorHAnsi"/>
        </w:rPr>
        <w:t xml:space="preserve"> and a district allows a facility operator to use revised inventory data for prioritization or risk assessment, the facility operator shall</w:t>
      </w:r>
      <w:r w:rsidR="007505B1" w:rsidRPr="008313ED">
        <w:rPr>
          <w:rFonts w:asciiTheme="minorHAnsi" w:hAnsiTheme="minorHAnsi"/>
        </w:rPr>
        <w:t xml:space="preserve"> </w:t>
      </w:r>
      <w:r w:rsidRPr="008313ED">
        <w:rPr>
          <w:rFonts w:asciiTheme="minorHAnsi" w:hAnsiTheme="minorHAnsi"/>
        </w:rPr>
        <w:t xml:space="preserve">submit an update report to the district which reflects any changes from the previously submitted and approved emission inventory report. The district shall submit this updated inventory to </w:t>
      </w:r>
      <w:r w:rsidR="3963657D" w:rsidRPr="008313ED">
        <w:rPr>
          <w:rFonts w:asciiTheme="minorHAnsi" w:hAnsiTheme="minorHAnsi"/>
        </w:rPr>
        <w:t>CARB</w:t>
      </w:r>
      <w:r w:rsidR="473B7B1D" w:rsidRPr="008313ED">
        <w:rPr>
          <w:rFonts w:asciiTheme="minorHAnsi" w:hAnsiTheme="minorHAnsi"/>
        </w:rPr>
        <w:t>.</w:t>
      </w:r>
      <w:r w:rsidRPr="008313ED" w:rsidDel="00475748">
        <w:rPr>
          <w:rFonts w:asciiTheme="minorHAnsi" w:hAnsiTheme="minorHAnsi"/>
        </w:rPr>
        <w:t xml:space="preserve"> </w:t>
      </w:r>
      <w:r w:rsidRPr="008313ED">
        <w:rPr>
          <w:rFonts w:asciiTheme="minorHAnsi" w:hAnsiTheme="minorHAnsi"/>
        </w:rPr>
        <w:t>EICG Section V</w:t>
      </w:r>
      <w:r w:rsidR="6E95D71E" w:rsidRPr="008313ED">
        <w:rPr>
          <w:rFonts w:asciiTheme="minorHAnsi" w:hAnsiTheme="minorHAnsi"/>
        </w:rPr>
        <w:t>.H.</w:t>
      </w:r>
      <w:r w:rsidRPr="008313ED">
        <w:rPr>
          <w:rFonts w:asciiTheme="minorHAnsi" w:hAnsiTheme="minorHAnsi"/>
        </w:rPr>
        <w:t xml:space="preserve"> includes details on what facility operators should do and what factors districts should look out for in their review. </w:t>
      </w:r>
      <w:r w:rsidR="473B7B1D" w:rsidRPr="008313ED">
        <w:rPr>
          <w:rFonts w:asciiTheme="minorHAnsi" w:hAnsiTheme="minorHAnsi"/>
        </w:rPr>
        <w:t>The</w:t>
      </w:r>
      <w:r w:rsidR="2471C63A" w:rsidRPr="008313ED">
        <w:rPr>
          <w:rFonts w:asciiTheme="minorHAnsi" w:hAnsiTheme="minorHAnsi"/>
        </w:rPr>
        <w:t xml:space="preserve"> </w:t>
      </w:r>
      <w:r w:rsidR="00FE3C01" w:rsidRPr="008313ED">
        <w:rPr>
          <w:rFonts w:asciiTheme="minorHAnsi" w:hAnsiTheme="minorHAnsi"/>
        </w:rPr>
        <w:t>“</w:t>
      </w:r>
      <w:r w:rsidR="2471C63A" w:rsidRPr="008313ED">
        <w:rPr>
          <w:rFonts w:asciiTheme="minorHAnsi" w:hAnsiTheme="minorHAnsi"/>
        </w:rPr>
        <w:t>Update Summary Form</w:t>
      </w:r>
      <w:r w:rsidR="00FE3C01" w:rsidRPr="008313ED">
        <w:rPr>
          <w:rFonts w:asciiTheme="minorHAnsi" w:hAnsiTheme="minorHAnsi"/>
        </w:rPr>
        <w:t>”</w:t>
      </w:r>
      <w:r w:rsidR="2471C63A" w:rsidRPr="008313ED">
        <w:rPr>
          <w:rFonts w:asciiTheme="minorHAnsi" w:hAnsiTheme="minorHAnsi"/>
        </w:rPr>
        <w:t xml:space="preserve"> (Form-US)</w:t>
      </w:r>
      <w:r w:rsidRPr="008313ED">
        <w:rPr>
          <w:rFonts w:asciiTheme="minorHAnsi" w:hAnsiTheme="minorHAnsi"/>
        </w:rPr>
        <w:t xml:space="preserve"> can be found in EICG Appendix B-II on page “B-II -</w:t>
      </w:r>
      <w:r w:rsidR="473B7B1D" w:rsidRPr="008313ED">
        <w:rPr>
          <w:rFonts w:asciiTheme="minorHAnsi" w:hAnsiTheme="minorHAnsi"/>
        </w:rPr>
        <w:t>3</w:t>
      </w:r>
      <w:r w:rsidR="1DDD11DB" w:rsidRPr="008313ED">
        <w:rPr>
          <w:rFonts w:asciiTheme="minorHAnsi" w:hAnsiTheme="minorHAnsi"/>
        </w:rPr>
        <w:t>0</w:t>
      </w:r>
      <w:r w:rsidRPr="008313ED">
        <w:rPr>
          <w:rFonts w:asciiTheme="minorHAnsi" w:hAnsiTheme="minorHAnsi"/>
        </w:rPr>
        <w:t xml:space="preserve">” on the CARB website </w:t>
      </w:r>
      <w:hyperlink r:id="rId28" w:history="1">
        <w:r w:rsidRPr="008313ED">
          <w:rPr>
            <w:rStyle w:val="Hyperlink"/>
            <w:rFonts w:asciiTheme="minorHAnsi" w:hAnsiTheme="minorHAnsi"/>
          </w:rPr>
          <w:t>here</w:t>
        </w:r>
      </w:hyperlink>
      <w:r w:rsidRPr="008313ED">
        <w:rPr>
          <w:rFonts w:asciiTheme="minorHAnsi" w:hAnsiTheme="minorHAnsi"/>
        </w:rPr>
        <w:t>.</w:t>
      </w:r>
    </w:p>
    <w:p w14:paraId="71FC8B20" w14:textId="77DA840F" w:rsidR="00240684" w:rsidRPr="008313ED" w:rsidRDefault="5C5C7DE6" w:rsidP="008969FF">
      <w:pPr>
        <w:pStyle w:val="Heading3"/>
        <w:rPr>
          <w:rFonts w:asciiTheme="minorHAnsi" w:hAnsiTheme="minorHAnsi"/>
        </w:rPr>
      </w:pPr>
      <w:bookmarkStart w:id="21" w:name="_Toc187305857"/>
      <w:r w:rsidRPr="008313ED">
        <w:rPr>
          <w:rFonts w:asciiTheme="minorHAnsi" w:hAnsiTheme="minorHAnsi"/>
        </w:rPr>
        <w:t xml:space="preserve">How are on-site </w:t>
      </w:r>
      <w:r w:rsidR="00865530" w:rsidRPr="008313ED">
        <w:rPr>
          <w:rFonts w:asciiTheme="minorHAnsi" w:hAnsiTheme="minorHAnsi"/>
        </w:rPr>
        <w:t xml:space="preserve">dust emissions and refueling from </w:t>
      </w:r>
      <w:r w:rsidRPr="008313ED">
        <w:rPr>
          <w:rFonts w:asciiTheme="minorHAnsi" w:hAnsiTheme="minorHAnsi"/>
        </w:rPr>
        <w:t xml:space="preserve">mobile sources treated for purposes of the </w:t>
      </w:r>
      <w:r w:rsidR="003F2F28" w:rsidRPr="008313ED">
        <w:rPr>
          <w:rFonts w:asciiTheme="minorHAnsi" w:hAnsiTheme="minorHAnsi"/>
        </w:rPr>
        <w:t>Hot Spots</w:t>
      </w:r>
      <w:r w:rsidRPr="008313ED">
        <w:rPr>
          <w:rFonts w:asciiTheme="minorHAnsi" w:hAnsiTheme="minorHAnsi"/>
        </w:rPr>
        <w:t xml:space="preserve"> </w:t>
      </w:r>
      <w:r w:rsidR="00355151" w:rsidRPr="008313ED">
        <w:rPr>
          <w:rFonts w:asciiTheme="minorHAnsi" w:hAnsiTheme="minorHAnsi"/>
        </w:rPr>
        <w:t>Program</w:t>
      </w:r>
      <w:r w:rsidRPr="008313ED">
        <w:rPr>
          <w:rFonts w:asciiTheme="minorHAnsi" w:hAnsiTheme="minorHAnsi"/>
        </w:rPr>
        <w:t>?</w:t>
      </w:r>
      <w:bookmarkEnd w:id="21"/>
      <w:r w:rsidRPr="008313ED">
        <w:rPr>
          <w:rFonts w:asciiTheme="minorHAnsi" w:hAnsiTheme="minorHAnsi"/>
        </w:rPr>
        <w:t xml:space="preserve"> </w:t>
      </w:r>
    </w:p>
    <w:p w14:paraId="28D0516D" w14:textId="39507041" w:rsidR="00240684" w:rsidRPr="008313ED" w:rsidRDefault="1BFBF26F" w:rsidP="006B4A70">
      <w:pPr>
        <w:rPr>
          <w:rFonts w:asciiTheme="minorHAnsi" w:hAnsiTheme="minorHAnsi"/>
        </w:rPr>
      </w:pPr>
      <w:r w:rsidRPr="008313ED">
        <w:rPr>
          <w:rFonts w:asciiTheme="minorHAnsi" w:hAnsiTheme="minorHAnsi"/>
        </w:rPr>
        <w:t xml:space="preserve">It is the intent of the </w:t>
      </w:r>
      <w:r w:rsidR="00BB4EB6" w:rsidRPr="008313ED">
        <w:rPr>
          <w:rFonts w:asciiTheme="minorHAnsi" w:hAnsiTheme="minorHAnsi"/>
        </w:rPr>
        <w:t>Hot Spots</w:t>
      </w:r>
      <w:r w:rsidRPr="008313ED">
        <w:rPr>
          <w:rFonts w:asciiTheme="minorHAnsi" w:hAnsiTheme="minorHAnsi"/>
        </w:rPr>
        <w:t xml:space="preserve"> program to ensure a comprehensive characterization of the toxic releases from facilities.  </w:t>
      </w:r>
      <w:r w:rsidR="7C9846F5" w:rsidRPr="008313ED">
        <w:rPr>
          <w:rFonts w:asciiTheme="minorHAnsi" w:hAnsiTheme="minorHAnsi"/>
        </w:rPr>
        <w:t xml:space="preserve">EICG </w:t>
      </w:r>
      <w:r w:rsidR="00793BDA" w:rsidRPr="008313ED">
        <w:rPr>
          <w:rFonts w:asciiTheme="minorHAnsi" w:hAnsiTheme="minorHAnsi"/>
        </w:rPr>
        <w:t>S</w:t>
      </w:r>
      <w:r w:rsidR="7C9846F5" w:rsidRPr="008313ED">
        <w:rPr>
          <w:rFonts w:asciiTheme="minorHAnsi" w:hAnsiTheme="minorHAnsi"/>
        </w:rPr>
        <w:t>ection VIII.G. addresses how on-site mobile sources are covered</w:t>
      </w:r>
      <w:r w:rsidR="63CCCECD" w:rsidRPr="008313ED">
        <w:rPr>
          <w:rFonts w:asciiTheme="minorHAnsi" w:hAnsiTheme="minorHAnsi"/>
        </w:rPr>
        <w:t xml:space="preserve"> under the </w:t>
      </w:r>
      <w:r w:rsidR="00BB4EB6" w:rsidRPr="008313ED">
        <w:rPr>
          <w:rFonts w:asciiTheme="minorHAnsi" w:hAnsiTheme="minorHAnsi"/>
        </w:rPr>
        <w:t>Hot Spots</w:t>
      </w:r>
      <w:r w:rsidR="63CCCECD" w:rsidRPr="008313ED">
        <w:rPr>
          <w:rFonts w:asciiTheme="minorHAnsi" w:hAnsiTheme="minorHAnsi"/>
        </w:rPr>
        <w:t xml:space="preserve"> program </w:t>
      </w:r>
      <w:r w:rsidR="00094134" w:rsidRPr="008313ED">
        <w:rPr>
          <w:rFonts w:asciiTheme="minorHAnsi" w:hAnsiTheme="minorHAnsi"/>
        </w:rPr>
        <w:t>to</w:t>
      </w:r>
      <w:r w:rsidR="7C9846F5" w:rsidRPr="008313ED">
        <w:rPr>
          <w:rFonts w:asciiTheme="minorHAnsi" w:hAnsiTheme="minorHAnsi"/>
        </w:rPr>
        <w:t xml:space="preserve"> ensure </w:t>
      </w:r>
      <w:r w:rsidR="7A329525" w:rsidRPr="008313ED">
        <w:rPr>
          <w:rFonts w:asciiTheme="minorHAnsi" w:hAnsiTheme="minorHAnsi"/>
        </w:rPr>
        <w:t xml:space="preserve">this. </w:t>
      </w:r>
      <w:r w:rsidR="0912E818" w:rsidRPr="008313ED">
        <w:rPr>
          <w:rFonts w:asciiTheme="minorHAnsi" w:hAnsiTheme="minorHAnsi"/>
        </w:rPr>
        <w:t>For routine and predictable motor vehicle activity at the facility, dust emissions are to be included</w:t>
      </w:r>
      <w:r w:rsidR="02B19CA2" w:rsidRPr="008313ED">
        <w:rPr>
          <w:rFonts w:asciiTheme="minorHAnsi" w:hAnsiTheme="minorHAnsi"/>
        </w:rPr>
        <w:t xml:space="preserve"> in reporting</w:t>
      </w:r>
      <w:r w:rsidR="0912E818" w:rsidRPr="008313ED">
        <w:rPr>
          <w:rFonts w:asciiTheme="minorHAnsi" w:hAnsiTheme="minorHAnsi"/>
        </w:rPr>
        <w:t>, as are vehicle refueling</w:t>
      </w:r>
      <w:r w:rsidR="1B9EB288" w:rsidRPr="008313ED">
        <w:rPr>
          <w:rFonts w:asciiTheme="minorHAnsi" w:hAnsiTheme="minorHAnsi"/>
        </w:rPr>
        <w:t xml:space="preserve"> and fuel tank storage emissions</w:t>
      </w:r>
      <w:r w:rsidR="5F76357D" w:rsidRPr="008313ED">
        <w:rPr>
          <w:rFonts w:asciiTheme="minorHAnsi" w:hAnsiTheme="minorHAnsi"/>
        </w:rPr>
        <w:t>;</w:t>
      </w:r>
      <w:r w:rsidR="542A53D7" w:rsidRPr="008313ED">
        <w:rPr>
          <w:rFonts w:asciiTheme="minorHAnsi" w:hAnsiTheme="minorHAnsi"/>
        </w:rPr>
        <w:t xml:space="preserve"> and activity data regarding usage of motor vehicles at the facility may be required to be reported.  For other mobile sources (non-motor-</w:t>
      </w:r>
      <w:r w:rsidR="46F82D55" w:rsidRPr="008313ED">
        <w:rPr>
          <w:rFonts w:asciiTheme="minorHAnsi" w:hAnsiTheme="minorHAnsi"/>
        </w:rPr>
        <w:t xml:space="preserve">vehicle sources) which operate </w:t>
      </w:r>
      <w:r w:rsidR="64BCC073" w:rsidRPr="008313ED">
        <w:rPr>
          <w:rFonts w:asciiTheme="minorHAnsi" w:hAnsiTheme="minorHAnsi"/>
        </w:rPr>
        <w:t xml:space="preserve">within the facility, these sources are </w:t>
      </w:r>
      <w:r w:rsidR="3F5B66F1" w:rsidRPr="008313ED">
        <w:rPr>
          <w:rFonts w:asciiTheme="minorHAnsi" w:hAnsiTheme="minorHAnsi"/>
        </w:rPr>
        <w:t>also covered by certain r</w:t>
      </w:r>
      <w:r w:rsidR="64BCC073" w:rsidRPr="008313ED">
        <w:rPr>
          <w:rFonts w:asciiTheme="minorHAnsi" w:hAnsiTheme="minorHAnsi"/>
        </w:rPr>
        <w:t>eporting</w:t>
      </w:r>
      <w:r w:rsidR="2E27030F" w:rsidRPr="008313ED">
        <w:rPr>
          <w:rFonts w:asciiTheme="minorHAnsi" w:hAnsiTheme="minorHAnsi"/>
        </w:rPr>
        <w:t xml:space="preserve"> requirements</w:t>
      </w:r>
      <w:r w:rsidR="64BCC073" w:rsidRPr="008313ED">
        <w:rPr>
          <w:rFonts w:asciiTheme="minorHAnsi" w:hAnsiTheme="minorHAnsi"/>
        </w:rPr>
        <w:t xml:space="preserve">. </w:t>
      </w:r>
      <w:r w:rsidR="01C6971E" w:rsidRPr="008313ED">
        <w:rPr>
          <w:rFonts w:asciiTheme="minorHAnsi" w:hAnsiTheme="minorHAnsi"/>
        </w:rPr>
        <w:t>For</w:t>
      </w:r>
      <w:r w:rsidR="64BCC073" w:rsidRPr="008313ED">
        <w:rPr>
          <w:rFonts w:asciiTheme="minorHAnsi" w:hAnsiTheme="minorHAnsi"/>
        </w:rPr>
        <w:t xml:space="preserve"> sources </w:t>
      </w:r>
      <w:r w:rsidR="79D2F432" w:rsidRPr="008313ED">
        <w:rPr>
          <w:rFonts w:asciiTheme="minorHAnsi" w:hAnsiTheme="minorHAnsi"/>
        </w:rPr>
        <w:t xml:space="preserve">that </w:t>
      </w:r>
      <w:r w:rsidR="64BCC073" w:rsidRPr="008313ED">
        <w:rPr>
          <w:rFonts w:asciiTheme="minorHAnsi" w:hAnsiTheme="minorHAnsi"/>
        </w:rPr>
        <w:t xml:space="preserve">stay within the facility property, </w:t>
      </w:r>
      <w:r w:rsidR="5143F0FB" w:rsidRPr="008313ED">
        <w:rPr>
          <w:rFonts w:asciiTheme="minorHAnsi" w:hAnsiTheme="minorHAnsi"/>
        </w:rPr>
        <w:t xml:space="preserve">the emissions must be included in the </w:t>
      </w:r>
      <w:r w:rsidR="003F2F28" w:rsidRPr="008313ED">
        <w:rPr>
          <w:rFonts w:asciiTheme="minorHAnsi" w:hAnsiTheme="minorHAnsi"/>
        </w:rPr>
        <w:t>Hot Spots</w:t>
      </w:r>
      <w:r w:rsidR="5143F0FB" w:rsidRPr="008313ED">
        <w:rPr>
          <w:rFonts w:asciiTheme="minorHAnsi" w:hAnsiTheme="minorHAnsi"/>
        </w:rPr>
        <w:t xml:space="preserve"> reporting.</w:t>
      </w:r>
      <w:r w:rsidR="342E5F04" w:rsidRPr="008313ED">
        <w:rPr>
          <w:rFonts w:asciiTheme="minorHAnsi" w:hAnsiTheme="minorHAnsi"/>
        </w:rPr>
        <w:t xml:space="preserve">  For sources that are periodically located within the facility property, the facility</w:t>
      </w:r>
      <w:r w:rsidR="3A0038A5" w:rsidRPr="008313ED">
        <w:rPr>
          <w:rFonts w:asciiTheme="minorHAnsi" w:hAnsiTheme="minorHAnsi"/>
        </w:rPr>
        <w:t xml:space="preserve"> is required to report activity data regarding the usage of the sources.</w:t>
      </w:r>
      <w:r w:rsidR="0912E818" w:rsidRPr="008313ED">
        <w:rPr>
          <w:rFonts w:asciiTheme="minorHAnsi" w:hAnsiTheme="minorHAnsi"/>
        </w:rPr>
        <w:t xml:space="preserve"> </w:t>
      </w:r>
    </w:p>
    <w:p w14:paraId="2D3E7589" w14:textId="5AEF015F" w:rsidR="00A11277" w:rsidRPr="008313ED" w:rsidRDefault="3141BE98" w:rsidP="00A11277">
      <w:pPr>
        <w:pStyle w:val="Heading3"/>
        <w:rPr>
          <w:rFonts w:asciiTheme="minorHAnsi" w:hAnsiTheme="minorHAnsi"/>
        </w:rPr>
      </w:pPr>
      <w:bookmarkStart w:id="22" w:name="_Toc187305858"/>
      <w:r w:rsidRPr="008313ED">
        <w:rPr>
          <w:rFonts w:asciiTheme="minorHAnsi" w:hAnsiTheme="minorHAnsi"/>
        </w:rPr>
        <w:t xml:space="preserve">What are portable diesel engine reporting requirements for engines greater than 50 </w:t>
      </w:r>
      <w:r w:rsidR="721BEDBE" w:rsidRPr="008313ED">
        <w:rPr>
          <w:rFonts w:asciiTheme="minorHAnsi" w:hAnsiTheme="minorHAnsi"/>
        </w:rPr>
        <w:t>horsepower</w:t>
      </w:r>
      <w:r w:rsidRPr="008313ED">
        <w:rPr>
          <w:rFonts w:asciiTheme="minorHAnsi" w:hAnsiTheme="minorHAnsi"/>
        </w:rPr>
        <w:t xml:space="preserve"> at certain large facilities?</w:t>
      </w:r>
      <w:bookmarkEnd w:id="22"/>
    </w:p>
    <w:p w14:paraId="26AD43B1" w14:textId="6D222920" w:rsidR="00A11277" w:rsidRPr="008313ED" w:rsidRDefault="00A11277" w:rsidP="006B4A70">
      <w:pPr>
        <w:rPr>
          <w:rFonts w:asciiTheme="minorHAnsi" w:hAnsiTheme="minorHAnsi"/>
        </w:rPr>
      </w:pPr>
      <w:r w:rsidRPr="008313ED">
        <w:rPr>
          <w:rFonts w:asciiTheme="minorHAnsi" w:hAnsiTheme="minorHAnsi"/>
        </w:rPr>
        <w:t xml:space="preserve">Section XI.C.(2)(c) requires that diesel emissions from portable diesel engines are required to be reported at certain large facilities (i.e., those that report to the </w:t>
      </w:r>
      <w:r w:rsidR="003450E5" w:rsidRPr="008313ED">
        <w:rPr>
          <w:rFonts w:asciiTheme="minorHAnsi" w:hAnsiTheme="minorHAnsi"/>
        </w:rPr>
        <w:t>Greenhouse Gas (</w:t>
      </w:r>
      <w:r w:rsidRPr="008313ED">
        <w:rPr>
          <w:rFonts w:asciiTheme="minorHAnsi" w:hAnsiTheme="minorHAnsi"/>
        </w:rPr>
        <w:t>GHG</w:t>
      </w:r>
      <w:r w:rsidR="003450E5" w:rsidRPr="008313ED">
        <w:rPr>
          <w:rFonts w:asciiTheme="minorHAnsi" w:hAnsiTheme="minorHAnsi"/>
        </w:rPr>
        <w:t>) Mandatory Reporting Regulation (</w:t>
      </w:r>
      <w:r w:rsidRPr="008313ED">
        <w:rPr>
          <w:rFonts w:asciiTheme="minorHAnsi" w:hAnsiTheme="minorHAnsi"/>
        </w:rPr>
        <w:t>MRR</w:t>
      </w:r>
      <w:r w:rsidR="003450E5" w:rsidRPr="008313ED">
        <w:rPr>
          <w:rFonts w:asciiTheme="minorHAnsi" w:hAnsiTheme="minorHAnsi"/>
        </w:rPr>
        <w:t xml:space="preserve">) </w:t>
      </w:r>
      <w:r w:rsidRPr="008313ED">
        <w:rPr>
          <w:rFonts w:asciiTheme="minorHAnsi" w:hAnsiTheme="minorHAnsi"/>
        </w:rPr>
        <w:t xml:space="preserve">and emit over 250 tons of criteria pollutants). Only engines greater than 50 </w:t>
      </w:r>
      <w:r w:rsidR="003D5347" w:rsidRPr="008313ED">
        <w:rPr>
          <w:rFonts w:asciiTheme="minorHAnsi" w:hAnsiTheme="minorHAnsi"/>
        </w:rPr>
        <w:t>horsepower (hp)</w:t>
      </w:r>
      <w:r w:rsidRPr="008313ED">
        <w:rPr>
          <w:rFonts w:asciiTheme="minorHAnsi" w:hAnsiTheme="minorHAnsi"/>
        </w:rPr>
        <w:t xml:space="preserve"> are included. This ensures collection of diesel exhaust data from portable equipment at large facilities, which can be a significant source of toxics risk.</w:t>
      </w:r>
    </w:p>
    <w:p w14:paraId="0EDC4385" w14:textId="35C73117" w:rsidR="00240684" w:rsidRPr="008313ED" w:rsidRDefault="6A79A0BF" w:rsidP="008969FF">
      <w:pPr>
        <w:pStyle w:val="Heading3"/>
        <w:rPr>
          <w:rFonts w:asciiTheme="minorHAnsi" w:hAnsiTheme="minorHAnsi"/>
        </w:rPr>
      </w:pPr>
      <w:bookmarkStart w:id="23" w:name="_Toc187305859"/>
      <w:r w:rsidRPr="008313ED">
        <w:rPr>
          <w:rFonts w:asciiTheme="minorHAnsi" w:hAnsiTheme="minorHAnsi"/>
        </w:rPr>
        <w:t>What if</w:t>
      </w:r>
      <w:r w:rsidRPr="008313ED">
        <w:rPr>
          <w:rFonts w:asciiTheme="minorHAnsi" w:hAnsiTheme="minorHAnsi"/>
          <w:spacing w:val="-1"/>
        </w:rPr>
        <w:t xml:space="preserve"> </w:t>
      </w:r>
      <w:r w:rsidR="0035309A" w:rsidRPr="008313ED">
        <w:rPr>
          <w:rFonts w:asciiTheme="minorHAnsi" w:hAnsiTheme="minorHAnsi"/>
        </w:rPr>
        <w:t>the facility’s</w:t>
      </w:r>
      <w:r w:rsidRPr="008313ED">
        <w:rPr>
          <w:rFonts w:asciiTheme="minorHAnsi" w:hAnsiTheme="minorHAnsi"/>
          <w:spacing w:val="-2"/>
        </w:rPr>
        <w:t xml:space="preserve"> </w:t>
      </w:r>
      <w:r w:rsidRPr="008313ED">
        <w:rPr>
          <w:rFonts w:asciiTheme="minorHAnsi" w:hAnsiTheme="minorHAnsi"/>
        </w:rPr>
        <w:t>equipment</w:t>
      </w:r>
      <w:r w:rsidRPr="008313ED">
        <w:rPr>
          <w:rFonts w:asciiTheme="minorHAnsi" w:hAnsiTheme="minorHAnsi"/>
          <w:spacing w:val="-1"/>
        </w:rPr>
        <w:t xml:space="preserve"> </w:t>
      </w:r>
      <w:r w:rsidRPr="008313ED">
        <w:rPr>
          <w:rFonts w:asciiTheme="minorHAnsi" w:hAnsiTheme="minorHAnsi"/>
        </w:rPr>
        <w:t>is</w:t>
      </w:r>
      <w:r w:rsidRPr="008313ED">
        <w:rPr>
          <w:rFonts w:asciiTheme="minorHAnsi" w:hAnsiTheme="minorHAnsi"/>
          <w:spacing w:val="-2"/>
        </w:rPr>
        <w:t xml:space="preserve"> </w:t>
      </w:r>
      <w:r w:rsidRPr="008313ED">
        <w:rPr>
          <w:rFonts w:asciiTheme="minorHAnsi" w:hAnsiTheme="minorHAnsi"/>
        </w:rPr>
        <w:t>not permitted?</w:t>
      </w:r>
      <w:bookmarkEnd w:id="23"/>
    </w:p>
    <w:p w14:paraId="5F0C003E" w14:textId="0247C215" w:rsidR="008969FF" w:rsidRPr="008313ED" w:rsidRDefault="00240684">
      <w:pPr>
        <w:rPr>
          <w:rFonts w:asciiTheme="minorHAnsi" w:hAnsiTheme="minorHAnsi"/>
        </w:rPr>
      </w:pPr>
      <w:r w:rsidRPr="008313ED">
        <w:rPr>
          <w:rFonts w:asciiTheme="minorHAnsi" w:hAnsiTheme="minorHAnsi"/>
        </w:rPr>
        <w:t xml:space="preserve">If the facility is subject to </w:t>
      </w:r>
      <w:r w:rsidR="00BB4EB6" w:rsidRPr="008313ED">
        <w:rPr>
          <w:rFonts w:asciiTheme="minorHAnsi" w:hAnsiTheme="minorHAnsi"/>
        </w:rPr>
        <w:t>Hot Spots</w:t>
      </w:r>
      <w:r w:rsidRPr="008313ED">
        <w:rPr>
          <w:rFonts w:asciiTheme="minorHAnsi" w:hAnsiTheme="minorHAnsi"/>
        </w:rPr>
        <w:t xml:space="preserve">, it does not matter if the equipment is permitted. All sources within facilities subject to the regulation must be included in the emission inventory. However, for facilities that are </w:t>
      </w:r>
      <w:proofErr w:type="gramStart"/>
      <w:r w:rsidRPr="008313ED">
        <w:rPr>
          <w:rFonts w:asciiTheme="minorHAnsi" w:hAnsiTheme="minorHAnsi"/>
        </w:rPr>
        <w:t>reporting</w:t>
      </w:r>
      <w:proofErr w:type="gramEnd"/>
      <w:r w:rsidRPr="008313ED">
        <w:rPr>
          <w:rFonts w:asciiTheme="minorHAnsi" w:hAnsiTheme="minorHAnsi"/>
        </w:rPr>
        <w:t xml:space="preserve"> under the Regulation for the Reporting of Criteria Air Pollutants and Toxic Air Contaminants (or CTR), only permitted equipment is subject to reporting. </w:t>
      </w:r>
    </w:p>
    <w:p w14:paraId="5DB2B551" w14:textId="5AB14E0C" w:rsidR="00240684" w:rsidRPr="008313ED" w:rsidRDefault="7C4AB222" w:rsidP="008969FF">
      <w:pPr>
        <w:pStyle w:val="Heading1"/>
        <w:rPr>
          <w:rFonts w:asciiTheme="minorHAnsi" w:hAnsiTheme="minorHAnsi"/>
        </w:rPr>
      </w:pPr>
      <w:bookmarkStart w:id="24" w:name="_Toc187305860"/>
      <w:r w:rsidRPr="008313ED">
        <w:rPr>
          <w:rFonts w:asciiTheme="minorHAnsi" w:hAnsiTheme="minorHAnsi"/>
        </w:rPr>
        <w:t>Source Testing and The Two-Step Process</w:t>
      </w:r>
      <w:bookmarkEnd w:id="24"/>
    </w:p>
    <w:p w14:paraId="2E938F9E" w14:textId="77777777" w:rsidR="00240684" w:rsidRPr="008313ED" w:rsidRDefault="6A79A0BF" w:rsidP="00240684">
      <w:pPr>
        <w:pStyle w:val="Heading3"/>
        <w:rPr>
          <w:rFonts w:asciiTheme="minorHAnsi" w:hAnsiTheme="minorHAnsi"/>
        </w:rPr>
      </w:pPr>
      <w:bookmarkStart w:id="25" w:name="_Ref154567085"/>
      <w:bookmarkStart w:id="26" w:name="_Ref154567137"/>
      <w:bookmarkStart w:id="27" w:name="_Toc187305861"/>
      <w:r w:rsidRPr="008313ED">
        <w:rPr>
          <w:rFonts w:asciiTheme="minorHAnsi" w:hAnsiTheme="minorHAnsi"/>
        </w:rPr>
        <w:t>What facilities are subject to the two-step process?</w:t>
      </w:r>
      <w:bookmarkEnd w:id="25"/>
      <w:bookmarkEnd w:id="26"/>
      <w:bookmarkEnd w:id="27"/>
      <w:r w:rsidRPr="008313ED">
        <w:rPr>
          <w:rFonts w:asciiTheme="minorHAnsi" w:hAnsiTheme="minorHAnsi"/>
        </w:rPr>
        <w:t xml:space="preserve"> </w:t>
      </w:r>
    </w:p>
    <w:p w14:paraId="6DF97883" w14:textId="77777777" w:rsidR="00240684" w:rsidRPr="008313ED" w:rsidRDefault="00240684" w:rsidP="00240684">
      <w:pPr>
        <w:rPr>
          <w:rFonts w:asciiTheme="minorHAnsi" w:hAnsiTheme="minorHAnsi"/>
        </w:rPr>
      </w:pPr>
      <w:r w:rsidRPr="008313ED">
        <w:rPr>
          <w:rFonts w:asciiTheme="minorHAnsi" w:hAnsiTheme="minorHAnsi"/>
        </w:rPr>
        <w:t xml:space="preserve">The two-step process, which includes qualitative screening followed by quantitative testing, applies to waste-handling facility operators meeting the requirements for classes of facilities in Phase 3B of </w:t>
      </w:r>
      <w:hyperlink r:id="rId29">
        <w:r w:rsidRPr="008313ED">
          <w:rPr>
            <w:rStyle w:val="Hyperlink"/>
            <w:rFonts w:asciiTheme="minorHAnsi" w:hAnsiTheme="minorHAnsi"/>
          </w:rPr>
          <w:t>Appendix E</w:t>
        </w:r>
      </w:hyperlink>
      <w:r w:rsidRPr="008313ED">
        <w:rPr>
          <w:rStyle w:val="Hyperlink"/>
          <w:rFonts w:asciiTheme="minorHAnsi" w:hAnsiTheme="minorHAnsi"/>
          <w:color w:val="auto"/>
        </w:rPr>
        <w:t xml:space="preserve">, </w:t>
      </w:r>
      <w:r w:rsidRPr="008313ED">
        <w:rPr>
          <w:rStyle w:val="Hyperlink"/>
          <w:rFonts w:asciiTheme="minorHAnsi" w:hAnsiTheme="minorHAnsi"/>
          <w:i w:val="0"/>
          <w:color w:val="auto"/>
        </w:rPr>
        <w:t>or those that emit more than 10 tons per year of criteria pollutants</w:t>
      </w:r>
      <w:r w:rsidRPr="008313ED">
        <w:rPr>
          <w:rFonts w:asciiTheme="minorHAnsi" w:hAnsiTheme="minorHAnsi"/>
        </w:rPr>
        <w:t>.</w:t>
      </w:r>
      <w:bookmarkStart w:id="28" w:name="_Hlk146618273"/>
      <w:r w:rsidRPr="008313ED">
        <w:rPr>
          <w:rFonts w:asciiTheme="minorHAnsi" w:hAnsiTheme="minorHAnsi"/>
        </w:rPr>
        <w:t xml:space="preserve"> The following sectors from </w:t>
      </w:r>
      <w:hyperlink r:id="rId30">
        <w:r w:rsidRPr="008313ED">
          <w:rPr>
            <w:rStyle w:val="Hyperlink"/>
            <w:rFonts w:asciiTheme="minorHAnsi" w:hAnsiTheme="minorHAnsi"/>
          </w:rPr>
          <w:t>Appendix E</w:t>
        </w:r>
      </w:hyperlink>
      <w:r w:rsidRPr="008313ED">
        <w:rPr>
          <w:rFonts w:asciiTheme="minorHAnsi" w:hAnsiTheme="minorHAnsi"/>
        </w:rPr>
        <w:t xml:space="preserve"> are applicable: landfills (Sector 48), composting facilities (Sector 49), material recycling/recovery facilities (Sector 50), metal shredding and dismantling facilities (Sector 51), and wastewater treatment plants including publicly owned treatment works (Sector 52). </w:t>
      </w:r>
    </w:p>
    <w:p w14:paraId="16912ACF" w14:textId="7FE9B355" w:rsidR="00240684" w:rsidRPr="008313ED" w:rsidRDefault="00240684" w:rsidP="00240684">
      <w:pPr>
        <w:rPr>
          <w:rFonts w:asciiTheme="minorHAnsi" w:hAnsiTheme="minorHAnsi"/>
        </w:rPr>
      </w:pPr>
      <w:r w:rsidRPr="008313ED">
        <w:rPr>
          <w:rFonts w:asciiTheme="minorHAnsi" w:hAnsiTheme="minorHAnsi"/>
        </w:rPr>
        <w:t xml:space="preserve">More information on the sectors, including the SIC/NAICS codes and activity level reporting thresholds, can be found in </w:t>
      </w:r>
      <w:hyperlink r:id="rId31" w:history="1">
        <w:r w:rsidRPr="008313ED">
          <w:rPr>
            <w:rStyle w:val="Hyperlink"/>
            <w:rFonts w:asciiTheme="minorHAnsi" w:hAnsiTheme="minorHAnsi"/>
          </w:rPr>
          <w:t>Appendix E</w:t>
        </w:r>
      </w:hyperlink>
      <w:r w:rsidRPr="008313ED">
        <w:rPr>
          <w:rFonts w:asciiTheme="minorHAnsi" w:hAnsiTheme="minorHAnsi"/>
        </w:rPr>
        <w:t xml:space="preserve"> of the </w:t>
      </w:r>
      <w:r w:rsidRPr="008313ED" w:rsidDel="00D50460">
        <w:rPr>
          <w:rFonts w:asciiTheme="minorHAnsi" w:hAnsiTheme="minorHAnsi"/>
        </w:rPr>
        <w:t>EICG</w:t>
      </w:r>
      <w:r w:rsidRPr="008313ED">
        <w:rPr>
          <w:rFonts w:asciiTheme="minorHAnsi" w:hAnsiTheme="minorHAnsi"/>
        </w:rPr>
        <w:t xml:space="preserve"> </w:t>
      </w:r>
      <w:r w:rsidR="00D50460" w:rsidRPr="008313ED">
        <w:rPr>
          <w:rFonts w:asciiTheme="minorHAnsi" w:hAnsiTheme="minorHAnsi"/>
        </w:rPr>
        <w:t>Regulation</w:t>
      </w:r>
      <w:r w:rsidRPr="008313ED">
        <w:rPr>
          <w:rFonts w:asciiTheme="minorHAnsi" w:hAnsiTheme="minorHAnsi"/>
        </w:rPr>
        <w:t>.</w:t>
      </w:r>
    </w:p>
    <w:p w14:paraId="5A240C5B" w14:textId="77777777" w:rsidR="00240684" w:rsidRPr="008313ED" w:rsidRDefault="6A79A0BF" w:rsidP="00240684">
      <w:pPr>
        <w:pStyle w:val="Heading3"/>
        <w:rPr>
          <w:rFonts w:asciiTheme="minorHAnsi" w:hAnsiTheme="minorHAnsi"/>
        </w:rPr>
      </w:pPr>
      <w:bookmarkStart w:id="29" w:name="_Toc187305862"/>
      <w:bookmarkEnd w:id="28"/>
      <w:r w:rsidRPr="008313ED">
        <w:rPr>
          <w:rFonts w:asciiTheme="minorHAnsi" w:hAnsiTheme="minorHAnsi"/>
        </w:rPr>
        <w:t>What is the two-step process?</w:t>
      </w:r>
      <w:bookmarkEnd w:id="29"/>
      <w:r w:rsidRPr="008313ED">
        <w:rPr>
          <w:rFonts w:asciiTheme="minorHAnsi" w:hAnsiTheme="minorHAnsi"/>
        </w:rPr>
        <w:t xml:space="preserve"> </w:t>
      </w:r>
    </w:p>
    <w:p w14:paraId="33FAF200" w14:textId="6A2F946B" w:rsidR="00240684" w:rsidRPr="008313ED" w:rsidRDefault="00240684" w:rsidP="00240684">
      <w:pPr>
        <w:pStyle w:val="BodyText"/>
        <w:rPr>
          <w:rFonts w:asciiTheme="minorHAnsi" w:eastAsia="Arial Unicode MS" w:hAnsiTheme="minorHAnsi"/>
        </w:rPr>
      </w:pPr>
      <w:r w:rsidRPr="008313ED">
        <w:rPr>
          <w:rFonts w:asciiTheme="minorHAnsi" w:eastAsia="Arial Unicode MS" w:hAnsiTheme="minorHAnsi"/>
        </w:rPr>
        <w:t>The 2022 EICG</w:t>
      </w:r>
      <w:r w:rsidRPr="008313ED" w:rsidDel="007F371F">
        <w:rPr>
          <w:rFonts w:asciiTheme="minorHAnsi" w:eastAsia="Arial Unicode MS" w:hAnsiTheme="minorHAnsi"/>
        </w:rPr>
        <w:t xml:space="preserve"> </w:t>
      </w:r>
      <w:r w:rsidR="007F371F" w:rsidRPr="008313ED">
        <w:rPr>
          <w:rFonts w:asciiTheme="minorHAnsi" w:eastAsia="Arial Unicode MS" w:hAnsiTheme="minorHAnsi"/>
        </w:rPr>
        <w:t xml:space="preserve">Regulation </w:t>
      </w:r>
      <w:r w:rsidRPr="008313ED">
        <w:rPr>
          <w:rFonts w:asciiTheme="minorHAnsi" w:eastAsia="Arial Unicode MS" w:hAnsiTheme="minorHAnsi"/>
        </w:rPr>
        <w:t xml:space="preserve">amendments include additional source test requirements for waste-handling facilities. Specific requirements for source testing are described in Section IX and listed in </w:t>
      </w:r>
      <w:hyperlink r:id="rId32">
        <w:r w:rsidRPr="008313ED">
          <w:rPr>
            <w:rStyle w:val="Hyperlink"/>
            <w:rFonts w:asciiTheme="minorHAnsi" w:eastAsia="Arial Unicode MS" w:hAnsiTheme="minorHAnsi"/>
          </w:rPr>
          <w:t>Appendix D</w:t>
        </w:r>
      </w:hyperlink>
      <w:r w:rsidRPr="008313ED">
        <w:rPr>
          <w:rFonts w:asciiTheme="minorHAnsi" w:eastAsia="Arial Unicode MS" w:hAnsiTheme="minorHAnsi"/>
        </w:rPr>
        <w:t xml:space="preserve"> of the EICG. Waste utilities are unique in that they accept waste streams from many sources, including industrial, commercial, residential storm water and other sources that may include a variety of toxic substances. Because of this, their waste streams may potentially contain toxic substances that require reporting under the EICG Regulation. The two-step process was included as an EICG amendment to comprehensively detect and measure the broad spectrum of toxic substances emitted into the air from waste</w:t>
      </w:r>
      <w:r w:rsidR="14AA320E" w:rsidRPr="008313ED">
        <w:rPr>
          <w:rFonts w:asciiTheme="minorHAnsi" w:eastAsia="Arial Unicode MS" w:hAnsiTheme="minorHAnsi"/>
        </w:rPr>
        <w:t>-handling facilities</w:t>
      </w:r>
      <w:r w:rsidR="102EF77A" w:rsidRPr="008313ED">
        <w:rPr>
          <w:rFonts w:asciiTheme="minorHAnsi" w:eastAsia="Arial Unicode MS" w:hAnsiTheme="minorHAnsi"/>
        </w:rPr>
        <w:t>.</w:t>
      </w:r>
    </w:p>
    <w:p w14:paraId="3D22B5E7" w14:textId="6742C083" w:rsidR="00240684" w:rsidRPr="008313ED" w:rsidRDefault="00240684" w:rsidP="00240684">
      <w:pPr>
        <w:pStyle w:val="BodyText"/>
        <w:spacing w:line="259" w:lineRule="auto"/>
        <w:rPr>
          <w:rFonts w:asciiTheme="minorHAnsi" w:eastAsia="Arial Unicode MS" w:hAnsiTheme="minorHAnsi"/>
        </w:rPr>
      </w:pPr>
      <w:r w:rsidRPr="008313ED">
        <w:rPr>
          <w:rFonts w:asciiTheme="minorHAnsi" w:eastAsia="Arial Unicode MS" w:hAnsiTheme="minorHAnsi"/>
        </w:rPr>
        <w:t xml:space="preserve">For the first step of the two-step process, facility operators shall submit an initial emission inventory plan that includes proposed testing protocols for </w:t>
      </w:r>
      <w:r w:rsidRPr="008313ED">
        <w:rPr>
          <w:rFonts w:asciiTheme="minorHAnsi" w:eastAsia="Arial Unicode MS" w:hAnsiTheme="minorHAnsi"/>
          <w:i/>
          <w:iCs/>
        </w:rPr>
        <w:t>qualitative screening (step 1)</w:t>
      </w:r>
      <w:r w:rsidRPr="008313ED">
        <w:rPr>
          <w:rFonts w:asciiTheme="minorHAnsi" w:eastAsia="Arial Unicode MS" w:hAnsiTheme="minorHAnsi"/>
        </w:rPr>
        <w:t xml:space="preserve"> of representative open sources. The testing protocols shall be designed to identify or screen for all listed substances for purposes of emission quantification in the second step. Upon approval of this initial screening plan proposal, waste</w:t>
      </w:r>
      <w:r w:rsidR="6DE127E4" w:rsidRPr="008313ED">
        <w:rPr>
          <w:rFonts w:asciiTheme="minorHAnsi" w:eastAsia="Arial Unicode MS" w:hAnsiTheme="minorHAnsi"/>
        </w:rPr>
        <w:t>-handling</w:t>
      </w:r>
      <w:r w:rsidRPr="008313ED">
        <w:rPr>
          <w:rFonts w:asciiTheme="minorHAnsi" w:eastAsia="Arial Unicode MS" w:hAnsiTheme="minorHAnsi"/>
        </w:rPr>
        <w:t xml:space="preserve"> facilities shall proceed with completing a second protocol for full</w:t>
      </w:r>
      <w:r w:rsidRPr="008313ED">
        <w:rPr>
          <w:rFonts w:asciiTheme="minorHAnsi" w:eastAsia="Arial Unicode MS" w:hAnsiTheme="minorHAnsi"/>
          <w:i/>
          <w:iCs/>
          <w:color w:val="36A393"/>
        </w:rPr>
        <w:t xml:space="preserve"> </w:t>
      </w:r>
      <w:r w:rsidRPr="008313ED">
        <w:rPr>
          <w:rFonts w:asciiTheme="minorHAnsi" w:eastAsia="Arial Unicode MS" w:hAnsiTheme="minorHAnsi"/>
          <w:i/>
          <w:iCs/>
        </w:rPr>
        <w:t>emissions quantification (step 2)</w:t>
      </w:r>
      <w:r w:rsidRPr="008313ED">
        <w:rPr>
          <w:rFonts w:asciiTheme="minorHAnsi" w:eastAsia="Arial Unicode MS" w:hAnsiTheme="minorHAnsi"/>
        </w:rPr>
        <w:t xml:space="preserve"> of the substances identified in the first step, with source testing as the required method of quantification </w:t>
      </w:r>
      <w:r w:rsidR="102EF77A" w:rsidRPr="008313ED">
        <w:rPr>
          <w:rFonts w:asciiTheme="minorHAnsi" w:eastAsia="Arial Unicode MS" w:hAnsiTheme="minorHAnsi"/>
        </w:rPr>
        <w:t>when</w:t>
      </w:r>
      <w:r w:rsidR="69132FF9" w:rsidRPr="008313ED">
        <w:rPr>
          <w:rFonts w:asciiTheme="minorHAnsi" w:eastAsia="Arial Unicode MS" w:hAnsiTheme="minorHAnsi"/>
        </w:rPr>
        <w:t>ever</w:t>
      </w:r>
      <w:r w:rsidRPr="008313ED">
        <w:rPr>
          <w:rFonts w:asciiTheme="minorHAnsi" w:eastAsia="Arial Unicode MS" w:hAnsiTheme="minorHAnsi"/>
        </w:rPr>
        <w:t xml:space="preserve"> feasible. The first step can be thought of </w:t>
      </w:r>
      <w:proofErr w:type="gramStart"/>
      <w:r w:rsidRPr="008313ED">
        <w:rPr>
          <w:rFonts w:asciiTheme="minorHAnsi" w:eastAsia="Arial Unicode MS" w:hAnsiTheme="minorHAnsi"/>
        </w:rPr>
        <w:t>as a way to</w:t>
      </w:r>
      <w:proofErr w:type="gramEnd"/>
      <w:r w:rsidRPr="008313ED">
        <w:rPr>
          <w:rFonts w:asciiTheme="minorHAnsi" w:eastAsia="Arial Unicode MS" w:hAnsiTheme="minorHAnsi"/>
        </w:rPr>
        <w:t xml:space="preserve"> </w:t>
      </w:r>
      <w:proofErr w:type="gramStart"/>
      <w:r w:rsidRPr="008313ED">
        <w:rPr>
          <w:rFonts w:asciiTheme="minorHAnsi" w:eastAsia="Arial Unicode MS" w:hAnsiTheme="minorHAnsi"/>
        </w:rPr>
        <w:t>inventory</w:t>
      </w:r>
      <w:proofErr w:type="gramEnd"/>
      <w:r w:rsidRPr="008313ED">
        <w:rPr>
          <w:rFonts w:asciiTheme="minorHAnsi" w:eastAsia="Arial Unicode MS" w:hAnsiTheme="minorHAnsi"/>
        </w:rPr>
        <w:t xml:space="preserve"> the full list of substances found in waste streams, while the second step focuses on measuring the substances detected in the first step to the extent feasible</w:t>
      </w:r>
      <w:r w:rsidR="527DBFC4" w:rsidRPr="008313ED">
        <w:rPr>
          <w:rFonts w:asciiTheme="minorHAnsi" w:eastAsia="Arial Unicode MS" w:hAnsiTheme="minorHAnsi"/>
        </w:rPr>
        <w:t xml:space="preserve"> (or otherwise estimating or quantifying them)</w:t>
      </w:r>
      <w:r w:rsidR="102EF77A" w:rsidRPr="008313ED">
        <w:rPr>
          <w:rFonts w:asciiTheme="minorHAnsi" w:eastAsia="Arial Unicode MS" w:hAnsiTheme="minorHAnsi"/>
        </w:rPr>
        <w:t xml:space="preserve">. </w:t>
      </w:r>
    </w:p>
    <w:p w14:paraId="77A938D4" w14:textId="4B821E8B" w:rsidR="00240684" w:rsidRPr="008313ED" w:rsidRDefault="00240684" w:rsidP="5CE950FB">
      <w:pPr>
        <w:pStyle w:val="BodyText"/>
        <w:rPr>
          <w:rFonts w:asciiTheme="minorHAnsi" w:eastAsia="Arial Unicode MS" w:hAnsiTheme="minorHAnsi"/>
        </w:rPr>
      </w:pPr>
      <w:r w:rsidRPr="008313ED">
        <w:rPr>
          <w:rFonts w:asciiTheme="minorHAnsi" w:eastAsia="Arial Unicode MS" w:hAnsiTheme="minorHAnsi"/>
        </w:rPr>
        <w:t xml:space="preserve">For further information on two-step process facility phase-in schedules, the submission process to districts, and the role of the Executive Officer of CARB (i.e. the state board) in reviewing first-step and second-step emission inventory plans, please refer to Section IX.H of the </w:t>
      </w:r>
      <w:hyperlink r:id="rId33">
        <w:r w:rsidRPr="008313ED">
          <w:rPr>
            <w:rStyle w:val="Hyperlink"/>
            <w:rFonts w:asciiTheme="minorHAnsi" w:eastAsia="Arial Unicode MS" w:hAnsiTheme="minorHAnsi"/>
          </w:rPr>
          <w:t>EICG</w:t>
        </w:r>
      </w:hyperlink>
      <w:r w:rsidR="2CE8E005" w:rsidRPr="008313ED">
        <w:rPr>
          <w:rFonts w:asciiTheme="minorHAnsi" w:eastAsia="Arial Unicode MS" w:hAnsiTheme="minorHAnsi"/>
        </w:rPr>
        <w:t xml:space="preserve"> and HSC §44340 and</w:t>
      </w:r>
      <w:r w:rsidR="435E396C" w:rsidRPr="008313ED">
        <w:rPr>
          <w:rFonts w:asciiTheme="minorHAnsi" w:eastAsia="Arial Unicode MS" w:hAnsiTheme="minorHAnsi"/>
        </w:rPr>
        <w:t xml:space="preserve"> </w:t>
      </w:r>
      <w:r w:rsidR="2CE8E005" w:rsidRPr="008313ED">
        <w:rPr>
          <w:rFonts w:asciiTheme="minorHAnsi" w:eastAsia="Arial Unicode MS" w:hAnsiTheme="minorHAnsi"/>
        </w:rPr>
        <w:t>§44341.</w:t>
      </w:r>
    </w:p>
    <w:p w14:paraId="31F61C05" w14:textId="77777777" w:rsidR="00240684" w:rsidRPr="008313ED" w:rsidRDefault="6A79A0BF" w:rsidP="00240684">
      <w:pPr>
        <w:pStyle w:val="Heading3"/>
        <w:rPr>
          <w:rFonts w:asciiTheme="minorHAnsi" w:hAnsiTheme="minorHAnsi"/>
        </w:rPr>
      </w:pPr>
      <w:bookmarkStart w:id="30" w:name="_Toc187305863"/>
      <w:r w:rsidRPr="008313ED">
        <w:rPr>
          <w:rFonts w:asciiTheme="minorHAnsi" w:hAnsiTheme="minorHAnsi"/>
        </w:rPr>
        <w:t>Do facility operators subject to the two-step process have to fully quantify Appendix A substances that do not have OEHHA-approved health values?</w:t>
      </w:r>
      <w:bookmarkEnd w:id="30"/>
    </w:p>
    <w:p w14:paraId="499DC129" w14:textId="373A2DDC" w:rsidR="00240684" w:rsidRPr="008313ED" w:rsidRDefault="00240684" w:rsidP="00240684">
      <w:pPr>
        <w:rPr>
          <w:rFonts w:asciiTheme="minorHAnsi" w:hAnsiTheme="minorHAnsi"/>
        </w:rPr>
      </w:pPr>
      <w:r w:rsidRPr="008313ED">
        <w:rPr>
          <w:rFonts w:asciiTheme="minorHAnsi" w:hAnsiTheme="minorHAnsi"/>
        </w:rPr>
        <w:t xml:space="preserve">Yes, all </w:t>
      </w:r>
      <w:hyperlink r:id="rId34">
        <w:r w:rsidRPr="008313ED">
          <w:rPr>
            <w:rStyle w:val="Hyperlink"/>
            <w:rFonts w:asciiTheme="minorHAnsi" w:hAnsiTheme="minorHAnsi"/>
          </w:rPr>
          <w:t>Appendix A</w:t>
        </w:r>
      </w:hyperlink>
      <w:r w:rsidRPr="008313ED">
        <w:rPr>
          <w:rFonts w:asciiTheme="minorHAnsi" w:hAnsiTheme="minorHAnsi"/>
        </w:rPr>
        <w:t xml:space="preserve"> substances must be reported, and all </w:t>
      </w:r>
      <w:hyperlink r:id="rId35">
        <w:r w:rsidRPr="008313ED">
          <w:rPr>
            <w:rStyle w:val="Hyperlink"/>
            <w:rFonts w:asciiTheme="minorHAnsi" w:hAnsiTheme="minorHAnsi"/>
          </w:rPr>
          <w:t>Appendix A</w:t>
        </w:r>
      </w:hyperlink>
      <w:hyperlink r:id="rId36">
        <w:r w:rsidRPr="008313ED">
          <w:rPr>
            <w:rStyle w:val="Hyperlink"/>
            <w:rFonts w:asciiTheme="minorHAnsi" w:hAnsiTheme="minorHAnsi"/>
          </w:rPr>
          <w:t>-I</w:t>
        </w:r>
      </w:hyperlink>
      <w:r w:rsidRPr="008313ED">
        <w:rPr>
          <w:rFonts w:asciiTheme="minorHAnsi" w:hAnsiTheme="minorHAnsi"/>
        </w:rPr>
        <w:t xml:space="preserve"> substances need to be quantified using best available quantification methods. For facilities subject to the two-step process requirement, it follows that all </w:t>
      </w:r>
      <w:hyperlink r:id="rId37">
        <w:r w:rsidRPr="008313ED">
          <w:rPr>
            <w:rStyle w:val="Hyperlink"/>
            <w:rFonts w:asciiTheme="minorHAnsi" w:hAnsiTheme="minorHAnsi"/>
          </w:rPr>
          <w:t>Appendix A</w:t>
        </w:r>
      </w:hyperlink>
      <w:r w:rsidRPr="008313ED">
        <w:rPr>
          <w:rFonts w:asciiTheme="minorHAnsi" w:hAnsiTheme="minorHAnsi"/>
        </w:rPr>
        <w:t xml:space="preserve"> substances will need to be included in the initial qualitative screenings. </w:t>
      </w:r>
    </w:p>
    <w:p w14:paraId="44081776" w14:textId="77777777" w:rsidR="00240684" w:rsidRPr="008313ED" w:rsidRDefault="00240684" w:rsidP="00240684">
      <w:pPr>
        <w:rPr>
          <w:rFonts w:asciiTheme="minorHAnsi" w:hAnsiTheme="minorHAnsi"/>
        </w:rPr>
      </w:pPr>
      <w:hyperlink r:id="rId38">
        <w:r w:rsidRPr="008313ED">
          <w:rPr>
            <w:rStyle w:val="Hyperlink"/>
            <w:rFonts w:asciiTheme="minorHAnsi" w:hAnsiTheme="minorHAnsi"/>
          </w:rPr>
          <w:t>Appendix A</w:t>
        </w:r>
      </w:hyperlink>
      <w:r w:rsidRPr="008313ED">
        <w:rPr>
          <w:rFonts w:asciiTheme="minorHAnsi" w:hAnsiTheme="minorHAnsi"/>
        </w:rPr>
        <w:t xml:space="preserve"> was constructed using data from a variety of sources that have conducted research and determined that all substances present a chronic or acute threat to public health when present in ambient air. The emissions data collected by the EICG program is continuously evaluated by CARB in collaboration with OEHHA to determine priorities to develop full OEHHA approved risk assessment potency values.</w:t>
      </w:r>
    </w:p>
    <w:p w14:paraId="45BF7FE5" w14:textId="657A1654" w:rsidR="00150F42" w:rsidRPr="008313ED" w:rsidRDefault="4FDF5B9C" w:rsidP="001451D6">
      <w:pPr>
        <w:rPr>
          <w:rFonts w:asciiTheme="minorHAnsi" w:hAnsiTheme="minorHAnsi"/>
        </w:rPr>
      </w:pPr>
      <w:r w:rsidRPr="008313ED">
        <w:rPr>
          <w:rFonts w:asciiTheme="minorHAnsi" w:hAnsiTheme="minorHAnsi"/>
        </w:rPr>
        <w:t>For a more detailed discussion</w:t>
      </w:r>
      <w:r w:rsidR="7E11D1AB" w:rsidRPr="008313ED">
        <w:rPr>
          <w:rFonts w:asciiTheme="minorHAnsi" w:hAnsiTheme="minorHAnsi"/>
        </w:rPr>
        <w:t xml:space="preserve"> of the importance of addressing all substances including those that do not yet have OEHHA health values</w:t>
      </w:r>
      <w:r w:rsidRPr="008313ED">
        <w:rPr>
          <w:rFonts w:asciiTheme="minorHAnsi" w:hAnsiTheme="minorHAnsi"/>
        </w:rPr>
        <w:t xml:space="preserve">, please see the FAQ item entitled </w:t>
      </w:r>
      <w:r w:rsidR="004478F0" w:rsidRPr="008313ED">
        <w:rPr>
          <w:rFonts w:asciiTheme="minorHAnsi" w:hAnsiTheme="minorHAnsi"/>
          <w:color w:val="4F81BD" w:themeColor="accent1"/>
          <w:u w:val="single"/>
        </w:rPr>
        <w:t>“</w:t>
      </w:r>
      <w:r w:rsidR="004478F0" w:rsidRPr="008313ED">
        <w:rPr>
          <w:rFonts w:asciiTheme="minorHAnsi" w:hAnsiTheme="minorHAnsi"/>
          <w:color w:val="4F81BD" w:themeColor="accent1"/>
          <w:u w:val="single"/>
        </w:rPr>
        <w:fldChar w:fldCharType="begin"/>
      </w:r>
      <w:r w:rsidR="004478F0" w:rsidRPr="008313ED">
        <w:rPr>
          <w:rFonts w:asciiTheme="minorHAnsi" w:hAnsiTheme="minorHAnsi"/>
          <w:color w:val="4F81BD" w:themeColor="accent1"/>
          <w:u w:val="single"/>
        </w:rPr>
        <w:instrText xml:space="preserve"> REF _Ref151095744 \h </w:instrText>
      </w:r>
      <w:r w:rsidR="004478F0" w:rsidRPr="008313ED">
        <w:rPr>
          <w:rFonts w:asciiTheme="minorHAnsi" w:hAnsiTheme="minorHAnsi"/>
          <w:color w:val="4F81BD" w:themeColor="accent1"/>
          <w:u w:val="single"/>
        </w:rPr>
      </w:r>
      <w:r w:rsidR="008313ED">
        <w:rPr>
          <w:rFonts w:asciiTheme="minorHAnsi" w:hAnsiTheme="minorHAnsi"/>
          <w:color w:val="4F81BD" w:themeColor="accent1"/>
          <w:u w:val="single"/>
        </w:rPr>
        <w:instrText xml:space="preserve"> \* MERGEFORMAT </w:instrText>
      </w:r>
      <w:r w:rsidR="004478F0" w:rsidRPr="008313ED">
        <w:rPr>
          <w:rFonts w:asciiTheme="minorHAnsi" w:hAnsiTheme="minorHAnsi"/>
          <w:color w:val="4F81BD" w:themeColor="accent1"/>
          <w:u w:val="single"/>
        </w:rPr>
        <w:fldChar w:fldCharType="separate"/>
      </w:r>
      <w:r w:rsidR="004478F0" w:rsidRPr="008313ED">
        <w:rPr>
          <w:rFonts w:asciiTheme="minorHAnsi" w:hAnsiTheme="minorHAnsi"/>
          <w:color w:val="4F81BD" w:themeColor="accent1"/>
          <w:u w:val="single"/>
        </w:rPr>
        <w:t>Why is reporting of emissions required for all chemicals even if they don't currently have an OEHHA health value?</w:t>
      </w:r>
      <w:r w:rsidR="004478F0" w:rsidRPr="008313ED">
        <w:rPr>
          <w:rFonts w:asciiTheme="minorHAnsi" w:hAnsiTheme="minorHAnsi"/>
          <w:color w:val="4F81BD" w:themeColor="accent1"/>
          <w:u w:val="single"/>
        </w:rPr>
        <w:fldChar w:fldCharType="end"/>
      </w:r>
      <w:r w:rsidR="004478F0" w:rsidRPr="008313ED">
        <w:rPr>
          <w:rFonts w:asciiTheme="minorHAnsi" w:hAnsiTheme="minorHAnsi"/>
          <w:color w:val="4F81BD" w:themeColor="accent1"/>
          <w:u w:val="single"/>
        </w:rPr>
        <w:t>”</w:t>
      </w:r>
      <w:r w:rsidR="00A12E49" w:rsidRPr="008313ED">
        <w:rPr>
          <w:rFonts w:asciiTheme="minorHAnsi" w:hAnsiTheme="minorHAnsi"/>
        </w:rPr>
        <w:t xml:space="preserve">, </w:t>
      </w:r>
      <w:r w:rsidR="0FC02ED0" w:rsidRPr="008313ED">
        <w:rPr>
          <w:rFonts w:asciiTheme="minorHAnsi" w:hAnsiTheme="minorHAnsi"/>
        </w:rPr>
        <w:t xml:space="preserve">which is under the </w:t>
      </w:r>
      <w:r w:rsidR="36502079" w:rsidRPr="008313ED">
        <w:rPr>
          <w:rFonts w:asciiTheme="minorHAnsi" w:hAnsiTheme="minorHAnsi"/>
        </w:rPr>
        <w:t xml:space="preserve">section </w:t>
      </w:r>
      <w:r w:rsidR="0FC02ED0" w:rsidRPr="008313ED">
        <w:rPr>
          <w:rFonts w:asciiTheme="minorHAnsi" w:hAnsiTheme="minorHAnsi"/>
        </w:rPr>
        <w:t>topic header “Required Reporting of Toxic Substances and Appendix A”.</w:t>
      </w:r>
      <w:r w:rsidRPr="008313ED">
        <w:rPr>
          <w:rFonts w:asciiTheme="minorHAnsi" w:hAnsiTheme="minorHAnsi"/>
        </w:rPr>
        <w:t xml:space="preserve"> </w:t>
      </w:r>
    </w:p>
    <w:p w14:paraId="0578F458" w14:textId="5E9A3F58" w:rsidR="00240684" w:rsidRPr="008313ED" w:rsidRDefault="6A79A0BF" w:rsidP="00240684">
      <w:pPr>
        <w:pStyle w:val="Heading3"/>
        <w:rPr>
          <w:rFonts w:asciiTheme="minorHAnsi" w:hAnsiTheme="minorHAnsi"/>
        </w:rPr>
      </w:pPr>
      <w:bookmarkStart w:id="31" w:name="_Toc187305864"/>
      <w:r w:rsidRPr="008313ED">
        <w:rPr>
          <w:rFonts w:asciiTheme="minorHAnsi" w:hAnsiTheme="minorHAnsi"/>
        </w:rPr>
        <w:t>Do facility operators subject to the two-step process have to fully quantify Appendix A substances that do not have CARB-approved source testing methods?</w:t>
      </w:r>
      <w:bookmarkEnd w:id="31"/>
    </w:p>
    <w:p w14:paraId="0C428BB8" w14:textId="4E472B86" w:rsidR="00240684" w:rsidRPr="008313ED" w:rsidRDefault="00240684" w:rsidP="00240684">
      <w:pPr>
        <w:spacing w:line="259" w:lineRule="auto"/>
        <w:rPr>
          <w:rFonts w:asciiTheme="minorHAnsi" w:hAnsiTheme="minorHAnsi"/>
        </w:rPr>
      </w:pPr>
      <w:r w:rsidRPr="008313ED">
        <w:rPr>
          <w:rFonts w:asciiTheme="minorHAnsi" w:hAnsiTheme="minorHAnsi"/>
        </w:rPr>
        <w:t xml:space="preserve">Yes, all </w:t>
      </w:r>
      <w:hyperlink r:id="rId39">
        <w:r w:rsidRPr="008313ED">
          <w:rPr>
            <w:rStyle w:val="Hyperlink"/>
            <w:rFonts w:asciiTheme="minorHAnsi" w:hAnsiTheme="minorHAnsi"/>
          </w:rPr>
          <w:t>Appendix A</w:t>
        </w:r>
      </w:hyperlink>
      <w:r w:rsidRPr="008313ED">
        <w:rPr>
          <w:rFonts w:asciiTheme="minorHAnsi" w:hAnsiTheme="minorHAnsi"/>
        </w:rPr>
        <w:t xml:space="preserve"> substances need to be quantified using best available </w:t>
      </w:r>
      <w:r w:rsidR="00EE669C" w:rsidRPr="008313ED">
        <w:rPr>
          <w:rFonts w:asciiTheme="minorHAnsi" w:hAnsiTheme="minorHAnsi"/>
        </w:rPr>
        <w:t xml:space="preserve">reference test </w:t>
      </w:r>
      <w:r w:rsidRPr="008313ED">
        <w:rPr>
          <w:rFonts w:asciiTheme="minorHAnsi" w:hAnsiTheme="minorHAnsi"/>
        </w:rPr>
        <w:t>methods</w:t>
      </w:r>
      <w:r w:rsidR="00EE669C" w:rsidRPr="008313ED">
        <w:rPr>
          <w:rFonts w:asciiTheme="minorHAnsi" w:hAnsiTheme="minorHAnsi"/>
        </w:rPr>
        <w:t xml:space="preserve"> and the sample collection techniques prescribed by the methods, when feasible</w:t>
      </w:r>
      <w:r w:rsidRPr="008313ED">
        <w:rPr>
          <w:rFonts w:asciiTheme="minorHAnsi" w:hAnsiTheme="minorHAnsi"/>
        </w:rPr>
        <w:t xml:space="preserve">. For substances that are demonstrated to not have a </w:t>
      </w:r>
      <w:r w:rsidR="00D74A5E" w:rsidRPr="008313ED">
        <w:rPr>
          <w:rFonts w:asciiTheme="minorHAnsi" w:hAnsiTheme="minorHAnsi"/>
        </w:rPr>
        <w:t xml:space="preserve">reference analytical method or </w:t>
      </w:r>
      <w:r w:rsidRPr="008313ED">
        <w:rPr>
          <w:rFonts w:asciiTheme="minorHAnsi" w:hAnsiTheme="minorHAnsi"/>
        </w:rPr>
        <w:t>feasible</w:t>
      </w:r>
      <w:r w:rsidR="00D74A5E" w:rsidRPr="008313ED">
        <w:rPr>
          <w:rFonts w:asciiTheme="minorHAnsi" w:hAnsiTheme="minorHAnsi"/>
        </w:rPr>
        <w:t xml:space="preserve"> sample collection technique</w:t>
      </w:r>
      <w:r w:rsidRPr="008313ED">
        <w:rPr>
          <w:rFonts w:asciiTheme="minorHAnsi" w:hAnsiTheme="minorHAnsi"/>
        </w:rPr>
        <w:t xml:space="preserve">, a full justification for an alternative method will need to be provided in the emission inventory plan for review and approval. </w:t>
      </w:r>
      <w:proofErr w:type="gramStart"/>
      <w:r w:rsidRPr="008313ED">
        <w:rPr>
          <w:rFonts w:asciiTheme="minorHAnsi" w:hAnsiTheme="minorHAnsi"/>
        </w:rPr>
        <w:t>Best</w:t>
      </w:r>
      <w:proofErr w:type="gramEnd"/>
      <w:r w:rsidRPr="008313ED">
        <w:rPr>
          <w:rFonts w:asciiTheme="minorHAnsi" w:hAnsiTheme="minorHAnsi"/>
        </w:rPr>
        <w:t xml:space="preserve"> available methods will vary depending on the specific substance and process. They are not necessarily maximum emissions values, potential to emit, or prescriptive limits established by permitting or regulation, unless those values provide the most accurate estimates available. The proposed alternative method needs to include all components of information required under Section IX and will be reviewed by both the District and CARB. </w:t>
      </w:r>
    </w:p>
    <w:p w14:paraId="6ADBB881" w14:textId="10FA4B6A" w:rsidR="000D3ED7" w:rsidRPr="008313ED" w:rsidRDefault="6A79A0BF" w:rsidP="00240684">
      <w:pPr>
        <w:pStyle w:val="Heading3"/>
        <w:rPr>
          <w:rFonts w:asciiTheme="minorHAnsi" w:hAnsiTheme="minorHAnsi"/>
        </w:rPr>
      </w:pPr>
      <w:bookmarkStart w:id="32" w:name="_Toc187305865"/>
      <w:r w:rsidRPr="008313ED">
        <w:rPr>
          <w:rFonts w:asciiTheme="minorHAnsi" w:hAnsiTheme="minorHAnsi"/>
        </w:rPr>
        <w:t>What analytical techniques are approved for source testing?</w:t>
      </w:r>
      <w:bookmarkEnd w:id="32"/>
      <w:r w:rsidRPr="008313ED">
        <w:rPr>
          <w:rFonts w:asciiTheme="minorHAnsi" w:hAnsiTheme="minorHAnsi"/>
        </w:rPr>
        <w:t xml:space="preserve"> </w:t>
      </w:r>
    </w:p>
    <w:p w14:paraId="69CBA326" w14:textId="38695356" w:rsidR="00240684" w:rsidRPr="008313ED" w:rsidRDefault="00240684" w:rsidP="00240684">
      <w:pPr>
        <w:rPr>
          <w:rFonts w:asciiTheme="minorHAnsi" w:hAnsiTheme="minorHAnsi"/>
        </w:rPr>
      </w:pPr>
      <w:r w:rsidRPr="008313ED">
        <w:rPr>
          <w:rFonts w:asciiTheme="minorHAnsi" w:hAnsiTheme="minorHAnsi"/>
        </w:rPr>
        <w:t>There is no list of approved analytical techniques to satisfy this requirement.</w:t>
      </w:r>
      <w:r w:rsidR="001D61B0" w:rsidRPr="008313ED">
        <w:rPr>
          <w:rFonts w:asciiTheme="minorHAnsi" w:hAnsiTheme="minorHAnsi"/>
        </w:rPr>
        <w:t xml:space="preserve"> Analytical techniques are prescribed by the applicable test method. </w:t>
      </w:r>
      <w:r w:rsidRPr="008313ED">
        <w:rPr>
          <w:rFonts w:asciiTheme="minorHAnsi" w:hAnsiTheme="minorHAnsi"/>
        </w:rPr>
        <w:t xml:space="preserve">Facilities are expected to use the best </w:t>
      </w:r>
      <w:proofErr w:type="gramStart"/>
      <w:r w:rsidRPr="008313ED">
        <w:rPr>
          <w:rFonts w:asciiTheme="minorHAnsi" w:hAnsiTheme="minorHAnsi"/>
        </w:rPr>
        <w:t xml:space="preserve">available </w:t>
      </w:r>
      <w:r w:rsidR="001D61B0" w:rsidRPr="008313ED">
        <w:rPr>
          <w:rFonts w:asciiTheme="minorHAnsi" w:hAnsiTheme="minorHAnsi"/>
        </w:rPr>
        <w:t xml:space="preserve">test </w:t>
      </w:r>
      <w:r w:rsidRPr="008313ED">
        <w:rPr>
          <w:rFonts w:asciiTheme="minorHAnsi" w:hAnsiTheme="minorHAnsi"/>
        </w:rPr>
        <w:t>methods</w:t>
      </w:r>
      <w:proofErr w:type="gramEnd"/>
      <w:r w:rsidRPr="008313ED">
        <w:rPr>
          <w:rFonts w:asciiTheme="minorHAnsi" w:hAnsiTheme="minorHAnsi"/>
        </w:rPr>
        <w:t xml:space="preserve"> to perform the two-step process. As this requirement involves both a qualitative screening of the </w:t>
      </w:r>
      <w:hyperlink r:id="rId40">
        <w:r w:rsidRPr="008313ED">
          <w:rPr>
            <w:rStyle w:val="Hyperlink"/>
            <w:rFonts w:asciiTheme="minorHAnsi" w:hAnsiTheme="minorHAnsi"/>
          </w:rPr>
          <w:t>Appendix A</w:t>
        </w:r>
      </w:hyperlink>
      <w:r w:rsidRPr="008313ED">
        <w:rPr>
          <w:rFonts w:asciiTheme="minorHAnsi" w:hAnsiTheme="minorHAnsi"/>
        </w:rPr>
        <w:t xml:space="preserve"> substance list, and subsequent emissions quantification, it is likely that a large variety of analytical techniques will be used in the process. It is expected that </w:t>
      </w:r>
      <w:proofErr w:type="gramStart"/>
      <w:r w:rsidRPr="008313ED">
        <w:rPr>
          <w:rFonts w:asciiTheme="minorHAnsi" w:hAnsiTheme="minorHAnsi"/>
        </w:rPr>
        <w:t>facilities</w:t>
      </w:r>
      <w:proofErr w:type="gramEnd"/>
      <w:r w:rsidRPr="008313ED">
        <w:rPr>
          <w:rFonts w:asciiTheme="minorHAnsi" w:hAnsiTheme="minorHAnsi"/>
        </w:rPr>
        <w:t xml:space="preserve"> will utilize a wide breadth of analysis methods in the process. For example, methods such as, but not limited to Gas Chromatography-Mass Spectrometry (GC-MS), Inductively coupled plasma mass spectrometry (ICP-MS), </w:t>
      </w:r>
      <w:r w:rsidR="0080238C" w:rsidRPr="008313ED">
        <w:rPr>
          <w:rFonts w:asciiTheme="minorHAnsi" w:hAnsiTheme="minorHAnsi"/>
        </w:rPr>
        <w:t xml:space="preserve">liquid chromatography mass spectrometry (LC-MS), </w:t>
      </w:r>
      <w:r w:rsidRPr="008313ED">
        <w:rPr>
          <w:rFonts w:asciiTheme="minorHAnsi" w:hAnsiTheme="minorHAnsi"/>
        </w:rPr>
        <w:t>and High-performance liquid chromatography (HPLC) would be expected to be used in the initial screening step.</w:t>
      </w:r>
    </w:p>
    <w:p w14:paraId="3839748B" w14:textId="68CD4A27" w:rsidR="00240684" w:rsidRPr="008313ED" w:rsidRDefault="00DE6EA4" w:rsidP="00855D40">
      <w:pPr>
        <w:rPr>
          <w:rFonts w:asciiTheme="minorHAnsi" w:hAnsiTheme="minorHAnsi"/>
          <w:color w:val="00B050"/>
        </w:rPr>
      </w:pPr>
      <w:r w:rsidRPr="008313ED">
        <w:rPr>
          <w:rFonts w:asciiTheme="minorHAnsi" w:hAnsiTheme="minorHAnsi"/>
        </w:rPr>
        <w:t xml:space="preserve">The previously stated mass spectrometry variants </w:t>
      </w:r>
      <w:r w:rsidR="00240684" w:rsidRPr="008313ED">
        <w:rPr>
          <w:rFonts w:asciiTheme="minorHAnsi" w:hAnsiTheme="minorHAnsi"/>
        </w:rPr>
        <w:t>can be used to screen for</w:t>
      </w:r>
      <w:r w:rsidR="0043373E" w:rsidRPr="008313ED">
        <w:rPr>
          <w:rFonts w:asciiTheme="minorHAnsi" w:hAnsiTheme="minorHAnsi"/>
        </w:rPr>
        <w:t xml:space="preserve"> inorganic compounds, organic compounds, elemental metals, and transition metals, including complex compounds with a GC-MS index. Mass spectrometry is routinely used to quantify toxics such as dioxins, benzene, and various metals such as beryllium; but its adaptability makes it a useful resource to screen for substances that have not yet been identified as toxic or carcinogenic.</w:t>
      </w:r>
      <w:r w:rsidR="00240684" w:rsidRPr="008313ED">
        <w:rPr>
          <w:rFonts w:asciiTheme="minorHAnsi" w:hAnsiTheme="minorHAnsi"/>
          <w:color w:val="00B050"/>
        </w:rPr>
        <w:t xml:space="preserve"> </w:t>
      </w:r>
    </w:p>
    <w:p w14:paraId="10D04B97" w14:textId="5018210E" w:rsidR="00240684" w:rsidRPr="008313ED" w:rsidRDefault="009342A1" w:rsidP="00855D40">
      <w:pPr>
        <w:rPr>
          <w:rFonts w:asciiTheme="minorHAnsi" w:hAnsiTheme="minorHAnsi"/>
          <w:color w:val="00B050"/>
        </w:rPr>
      </w:pPr>
      <w:r w:rsidRPr="008313ED">
        <w:rPr>
          <w:rFonts w:asciiTheme="minorHAnsi" w:hAnsiTheme="minorHAnsi"/>
        </w:rPr>
        <w:t>When selecting a test method, the sample collection methodology and its applicability to the process stream being sampled</w:t>
      </w:r>
      <w:r w:rsidR="003831AE" w:rsidRPr="008313ED">
        <w:rPr>
          <w:rFonts w:asciiTheme="minorHAnsi" w:hAnsiTheme="minorHAnsi"/>
        </w:rPr>
        <w:t xml:space="preserve"> should be considered</w:t>
      </w:r>
      <w:r w:rsidRPr="008313ED">
        <w:rPr>
          <w:rFonts w:asciiTheme="minorHAnsi" w:hAnsiTheme="minorHAnsi"/>
        </w:rPr>
        <w:t>. For example: quantify</w:t>
      </w:r>
      <w:r w:rsidR="00BB5DBC" w:rsidRPr="008313ED">
        <w:rPr>
          <w:rFonts w:asciiTheme="minorHAnsi" w:hAnsiTheme="minorHAnsi"/>
        </w:rPr>
        <w:t>ing</w:t>
      </w:r>
      <w:r w:rsidRPr="008313ED">
        <w:rPr>
          <w:rFonts w:asciiTheme="minorHAnsi" w:hAnsiTheme="minorHAnsi"/>
        </w:rPr>
        <w:t xml:space="preserve"> volatile compounds in aqueous media </w:t>
      </w:r>
      <w:r w:rsidR="00BB5DBC" w:rsidRPr="008313ED">
        <w:rPr>
          <w:rFonts w:asciiTheme="minorHAnsi" w:hAnsiTheme="minorHAnsi"/>
        </w:rPr>
        <w:t xml:space="preserve">may be desired </w:t>
      </w:r>
      <w:r w:rsidRPr="008313ED">
        <w:rPr>
          <w:rFonts w:asciiTheme="minorHAnsi" w:hAnsiTheme="minorHAnsi"/>
        </w:rPr>
        <w:t>using a U.S. EPA TO Compendium Method</w:t>
      </w:r>
      <w:r w:rsidR="005849EC" w:rsidRPr="008313ED">
        <w:rPr>
          <w:rFonts w:asciiTheme="minorHAnsi" w:hAnsiTheme="minorHAnsi"/>
        </w:rPr>
        <w:t xml:space="preserve"> that</w:t>
      </w:r>
      <w:r w:rsidRPr="008313ED">
        <w:rPr>
          <w:rFonts w:asciiTheme="minorHAnsi" w:hAnsiTheme="minorHAnsi"/>
        </w:rPr>
        <w:t xml:space="preserve"> requir</w:t>
      </w:r>
      <w:r w:rsidR="005849EC" w:rsidRPr="008313ED">
        <w:rPr>
          <w:rFonts w:asciiTheme="minorHAnsi" w:hAnsiTheme="minorHAnsi"/>
        </w:rPr>
        <w:t>es</w:t>
      </w:r>
      <w:r w:rsidRPr="008313ED">
        <w:rPr>
          <w:rFonts w:asciiTheme="minorHAnsi" w:hAnsiTheme="minorHAnsi"/>
        </w:rPr>
        <w:t xml:space="preserve"> the sample be collected in an evacuated canister, which is not applicable. Instead, collecting a “grab sample” of liquid in a suitable sample container and analyze the headspace for the volatile compounds of interest</w:t>
      </w:r>
      <w:r w:rsidR="009C3AF5" w:rsidRPr="008313ED">
        <w:rPr>
          <w:rFonts w:asciiTheme="minorHAnsi" w:hAnsiTheme="minorHAnsi"/>
        </w:rPr>
        <w:t xml:space="preserve"> could be </w:t>
      </w:r>
      <w:r w:rsidR="00511798" w:rsidRPr="008313ED">
        <w:rPr>
          <w:rFonts w:asciiTheme="minorHAnsi" w:hAnsiTheme="minorHAnsi"/>
        </w:rPr>
        <w:t>proposed</w:t>
      </w:r>
      <w:r w:rsidRPr="008313ED">
        <w:rPr>
          <w:rFonts w:asciiTheme="minorHAnsi" w:hAnsiTheme="minorHAnsi"/>
        </w:rPr>
        <w:t>. As a screening method, the liquid could be analyzed for the compounds of interest and then estimate their prevalence to be airborne or entrained.</w:t>
      </w:r>
      <w:r w:rsidRPr="008313ED">
        <w:rPr>
          <w:rFonts w:asciiTheme="minorHAnsi" w:hAnsiTheme="minorHAnsi"/>
          <w:color w:val="00B050"/>
        </w:rPr>
        <w:t xml:space="preserve"> </w:t>
      </w:r>
    </w:p>
    <w:p w14:paraId="21F0A71D" w14:textId="22761818" w:rsidR="00240684" w:rsidRPr="008313ED" w:rsidRDefault="15AAEF42" w:rsidP="000101A9">
      <w:pPr>
        <w:pStyle w:val="Heading3"/>
        <w:spacing w:line="259" w:lineRule="auto"/>
        <w:rPr>
          <w:rFonts w:asciiTheme="minorHAnsi" w:hAnsiTheme="minorHAnsi"/>
        </w:rPr>
      </w:pPr>
      <w:bookmarkStart w:id="33" w:name="_Toc187305866"/>
      <w:r w:rsidRPr="008313ED">
        <w:rPr>
          <w:rFonts w:asciiTheme="minorHAnsi" w:hAnsiTheme="minorHAnsi"/>
        </w:rPr>
        <w:t>Can water testing be used to help wastewater treatment plants in their reporting of Appendix A substances</w:t>
      </w:r>
      <w:r w:rsidR="6A79A0BF" w:rsidRPr="008313ED">
        <w:rPr>
          <w:rFonts w:asciiTheme="minorHAnsi" w:hAnsiTheme="minorHAnsi"/>
        </w:rPr>
        <w:t>?</w:t>
      </w:r>
      <w:bookmarkEnd w:id="33"/>
    </w:p>
    <w:p w14:paraId="645222D9" w14:textId="2D9431A7" w:rsidR="13454CB1" w:rsidRPr="008313ED" w:rsidRDefault="03DF181E" w:rsidP="00D263C3">
      <w:pPr>
        <w:rPr>
          <w:rFonts w:asciiTheme="minorHAnsi" w:hAnsiTheme="minorHAnsi"/>
        </w:rPr>
      </w:pPr>
      <w:r w:rsidRPr="008313ED">
        <w:rPr>
          <w:rFonts w:asciiTheme="minorHAnsi" w:hAnsiTheme="minorHAnsi"/>
        </w:rPr>
        <w:t xml:space="preserve">Yes. While the EICG ultimately requires reporting of air emissions (which may require air sampling, such as flux chamber sampling), there may be situations where wastewater treatment plants can utilize water sampling in conjunction with air sampling, particularly as part of the first screening step to detect the presence of Appendix A substances. Some substances may be more easily detected at higher concentrations in </w:t>
      </w:r>
      <w:proofErr w:type="gramStart"/>
      <w:r w:rsidRPr="008313ED">
        <w:rPr>
          <w:rFonts w:asciiTheme="minorHAnsi" w:hAnsiTheme="minorHAnsi"/>
        </w:rPr>
        <w:t>the water</w:t>
      </w:r>
      <w:proofErr w:type="gramEnd"/>
      <w:r w:rsidRPr="008313ED">
        <w:rPr>
          <w:rFonts w:asciiTheme="minorHAnsi" w:hAnsiTheme="minorHAnsi"/>
        </w:rPr>
        <w:t xml:space="preserve"> sampling than air sampling, which will allow for more consistent</w:t>
      </w:r>
      <w:r w:rsidR="005067EF" w:rsidRPr="008313ED">
        <w:rPr>
          <w:rFonts w:asciiTheme="minorHAnsi" w:hAnsiTheme="minorHAnsi"/>
        </w:rPr>
        <w:t xml:space="preserve">, </w:t>
      </w:r>
      <w:r w:rsidRPr="008313ED">
        <w:rPr>
          <w:rFonts w:asciiTheme="minorHAnsi" w:hAnsiTheme="minorHAnsi"/>
        </w:rPr>
        <w:t>and potentially lower cost</w:t>
      </w:r>
      <w:r w:rsidR="005067EF" w:rsidRPr="008313ED">
        <w:rPr>
          <w:rFonts w:asciiTheme="minorHAnsi" w:hAnsiTheme="minorHAnsi"/>
        </w:rPr>
        <w:t>,</w:t>
      </w:r>
      <w:r w:rsidRPr="008313ED">
        <w:rPr>
          <w:rFonts w:asciiTheme="minorHAnsi" w:hAnsiTheme="minorHAnsi"/>
        </w:rPr>
        <w:t xml:space="preserve"> screening detection. Further, the results of water testing at the influent and other appropriate locations may be able to be used in conjunction with appropriate engineering calculations to calculate airborne emissions (without direct air sampling) for some substances. Additionally, chemical reactions may occur within the various wastewater treatment plant processes that could form secondary toxic substances of concern that then could become airborne and would need to be reported</w:t>
      </w:r>
      <w:r w:rsidR="005067EF" w:rsidRPr="008313ED">
        <w:rPr>
          <w:rFonts w:asciiTheme="minorHAnsi" w:hAnsiTheme="minorHAnsi"/>
        </w:rPr>
        <w:t>.</w:t>
      </w:r>
      <w:r w:rsidRPr="008313ED">
        <w:rPr>
          <w:rFonts w:asciiTheme="minorHAnsi" w:hAnsiTheme="minorHAnsi"/>
        </w:rPr>
        <w:t xml:space="preserve">  </w:t>
      </w:r>
    </w:p>
    <w:p w14:paraId="66862EBF" w14:textId="4D2D7B53" w:rsidR="00240684" w:rsidRPr="008313ED" w:rsidRDefault="6A79A0BF" w:rsidP="00240684">
      <w:pPr>
        <w:pStyle w:val="Heading3"/>
        <w:rPr>
          <w:rFonts w:asciiTheme="minorHAnsi" w:hAnsiTheme="minorHAnsi"/>
          <w:color w:val="C00000"/>
        </w:rPr>
      </w:pPr>
      <w:bookmarkStart w:id="34" w:name="_Toc187305867"/>
      <w:r w:rsidRPr="008313ED">
        <w:rPr>
          <w:rFonts w:asciiTheme="minorHAnsi" w:hAnsiTheme="minorHAnsi"/>
        </w:rPr>
        <w:t xml:space="preserve">When are facilities </w:t>
      </w:r>
      <w:r w:rsidR="00FE6678" w:rsidRPr="008313ED">
        <w:rPr>
          <w:rFonts w:asciiTheme="minorHAnsi" w:hAnsiTheme="minorHAnsi"/>
        </w:rPr>
        <w:t xml:space="preserve">that are subject to the two-step process </w:t>
      </w:r>
      <w:r w:rsidRPr="008313ED">
        <w:rPr>
          <w:rFonts w:asciiTheme="minorHAnsi" w:hAnsiTheme="minorHAnsi"/>
        </w:rPr>
        <w:t>required to complete</w:t>
      </w:r>
      <w:r w:rsidR="00FE6678" w:rsidRPr="008313ED">
        <w:rPr>
          <w:rFonts w:asciiTheme="minorHAnsi" w:hAnsiTheme="minorHAnsi"/>
        </w:rPr>
        <w:t xml:space="preserve"> it</w:t>
      </w:r>
      <w:r w:rsidRPr="008313ED">
        <w:rPr>
          <w:rFonts w:asciiTheme="minorHAnsi" w:hAnsiTheme="minorHAnsi"/>
        </w:rPr>
        <w:t>?</w:t>
      </w:r>
      <w:bookmarkEnd w:id="34"/>
    </w:p>
    <w:p w14:paraId="44BC39CA" w14:textId="77777777" w:rsidR="00240684" w:rsidRPr="008313ED" w:rsidRDefault="00240684" w:rsidP="00240684">
      <w:pPr>
        <w:rPr>
          <w:rFonts w:asciiTheme="minorHAnsi" w:hAnsiTheme="minorHAnsi"/>
        </w:rPr>
      </w:pPr>
      <w:r w:rsidRPr="008313ED">
        <w:rPr>
          <w:rFonts w:asciiTheme="minorHAnsi" w:hAnsiTheme="minorHAnsi"/>
        </w:rPr>
        <w:t xml:space="preserve">Emissions from waste handling facilities may continue to use their current emissions estimation methods through </w:t>
      </w:r>
      <w:proofErr w:type="gramStart"/>
      <w:r w:rsidRPr="008313ED">
        <w:rPr>
          <w:rFonts w:asciiTheme="minorHAnsi" w:hAnsiTheme="minorHAnsi"/>
        </w:rPr>
        <w:t>data</w:t>
      </w:r>
      <w:proofErr w:type="gramEnd"/>
      <w:r w:rsidRPr="008313ED">
        <w:rPr>
          <w:rFonts w:asciiTheme="minorHAnsi" w:hAnsiTheme="minorHAnsi"/>
        </w:rPr>
        <w:t xml:space="preserve"> year 2027. For </w:t>
      </w:r>
      <w:proofErr w:type="gramStart"/>
      <w:r w:rsidRPr="008313ED">
        <w:rPr>
          <w:rFonts w:asciiTheme="minorHAnsi" w:hAnsiTheme="minorHAnsi"/>
        </w:rPr>
        <w:t>data</w:t>
      </w:r>
      <w:proofErr w:type="gramEnd"/>
      <w:r w:rsidRPr="008313ED">
        <w:rPr>
          <w:rFonts w:asciiTheme="minorHAnsi" w:hAnsiTheme="minorHAnsi"/>
        </w:rPr>
        <w:t xml:space="preserve"> year 2028 emissions, waste handling facilities are required to report emissions using the results from the two-step process.</w:t>
      </w:r>
    </w:p>
    <w:p w14:paraId="0401E383" w14:textId="26CE0DA9" w:rsidR="00240684" w:rsidRPr="008313ED" w:rsidRDefault="00240684" w:rsidP="00240684">
      <w:pPr>
        <w:rPr>
          <w:rFonts w:asciiTheme="minorHAnsi" w:hAnsiTheme="minorHAnsi"/>
        </w:rPr>
      </w:pPr>
      <w:r w:rsidRPr="008313ED">
        <w:rPr>
          <w:rFonts w:asciiTheme="minorHAnsi" w:hAnsiTheme="minorHAnsi"/>
        </w:rPr>
        <w:t xml:space="preserve">Due to the involvement and complexity inherent to the two-step process and protocol, it is expected that the process will be a multi-year effort. Because of this, it is recommended that facilities begin the process sooner rather than later. </w:t>
      </w:r>
    </w:p>
    <w:p w14:paraId="5781C5FF" w14:textId="77777777" w:rsidR="00240684" w:rsidRPr="008313ED" w:rsidRDefault="6A79A0BF" w:rsidP="00240684">
      <w:pPr>
        <w:pStyle w:val="Heading3"/>
        <w:rPr>
          <w:rFonts w:asciiTheme="minorHAnsi" w:hAnsiTheme="minorHAnsi"/>
        </w:rPr>
      </w:pPr>
      <w:bookmarkStart w:id="35" w:name="_Toc187305868"/>
      <w:r w:rsidRPr="008313ED">
        <w:rPr>
          <w:rFonts w:asciiTheme="minorHAnsi" w:hAnsiTheme="minorHAnsi"/>
        </w:rPr>
        <w:t>Does every facility need to perform the two-step process?</w:t>
      </w:r>
      <w:bookmarkEnd w:id="35"/>
    </w:p>
    <w:p w14:paraId="2895A453" w14:textId="5220F7CC" w:rsidR="00240684" w:rsidRPr="008313ED" w:rsidRDefault="00240684" w:rsidP="00240684">
      <w:pPr>
        <w:pStyle w:val="BodyText"/>
        <w:rPr>
          <w:rFonts w:asciiTheme="minorHAnsi" w:eastAsia="Arial Unicode MS" w:hAnsiTheme="minorHAnsi"/>
        </w:rPr>
      </w:pPr>
      <w:r w:rsidRPr="008313ED">
        <w:rPr>
          <w:rFonts w:asciiTheme="minorHAnsi" w:eastAsia="Arial Unicode MS" w:hAnsiTheme="minorHAnsi"/>
        </w:rPr>
        <w:t>Every applicable individual facility is required to complete and satisfy all the steps outlined in Section IX.H regarding the two-step process, which are summarized in this document</w:t>
      </w:r>
      <w:r w:rsidR="00085298" w:rsidRPr="008313ED">
        <w:rPr>
          <w:rFonts w:asciiTheme="minorHAnsi" w:eastAsia="Arial Unicode MS" w:hAnsiTheme="minorHAnsi"/>
        </w:rPr>
        <w:t xml:space="preserve"> under</w:t>
      </w:r>
      <w:r w:rsidR="00CF1963" w:rsidRPr="008313ED">
        <w:rPr>
          <w:rFonts w:asciiTheme="minorHAnsi" w:eastAsia="Arial Unicode MS" w:hAnsiTheme="minorHAnsi"/>
        </w:rPr>
        <w:t xml:space="preserve"> </w:t>
      </w:r>
      <w:r w:rsidR="00504FF3" w:rsidRPr="008313ED">
        <w:rPr>
          <w:rFonts w:asciiTheme="minorHAnsi" w:eastAsia="Arial Unicode MS" w:hAnsiTheme="minorHAnsi"/>
          <w:color w:val="4F81BD" w:themeColor="accent1"/>
          <w:szCs w:val="24"/>
          <w:u w:val="single"/>
        </w:rPr>
        <w:t>“</w:t>
      </w:r>
      <w:r w:rsidR="00AE78E2" w:rsidRPr="008313ED">
        <w:rPr>
          <w:rFonts w:asciiTheme="minorHAnsi" w:eastAsia="Arial Unicode MS" w:hAnsiTheme="minorHAnsi"/>
          <w:color w:val="4F81BD" w:themeColor="accent1"/>
          <w:szCs w:val="24"/>
          <w:u w:val="single"/>
        </w:rPr>
        <w:fldChar w:fldCharType="begin"/>
      </w:r>
      <w:r w:rsidR="00AE78E2" w:rsidRPr="008313ED">
        <w:rPr>
          <w:rFonts w:asciiTheme="minorHAnsi" w:eastAsia="Arial Unicode MS" w:hAnsiTheme="minorHAnsi"/>
          <w:color w:val="4F81BD" w:themeColor="accent1"/>
          <w:szCs w:val="24"/>
          <w:u w:val="single"/>
        </w:rPr>
        <w:instrText xml:space="preserve"> REF _Ref154567137 \h </w:instrText>
      </w:r>
      <w:r w:rsidR="00504FF3" w:rsidRPr="008313ED">
        <w:rPr>
          <w:rFonts w:asciiTheme="minorHAnsi" w:eastAsia="Arial Unicode MS" w:hAnsiTheme="minorHAnsi"/>
          <w:color w:val="4F81BD" w:themeColor="accent1"/>
          <w:szCs w:val="24"/>
          <w:u w:val="single"/>
        </w:rPr>
        <w:instrText xml:space="preserve"> \* MERGEFORMAT </w:instrText>
      </w:r>
      <w:r w:rsidR="00AE78E2" w:rsidRPr="008313ED">
        <w:rPr>
          <w:rFonts w:asciiTheme="minorHAnsi" w:eastAsia="Arial Unicode MS" w:hAnsiTheme="minorHAnsi"/>
          <w:color w:val="4F81BD" w:themeColor="accent1"/>
          <w:szCs w:val="24"/>
          <w:u w:val="single"/>
        </w:rPr>
      </w:r>
      <w:r w:rsidR="00AE78E2" w:rsidRPr="008313ED">
        <w:rPr>
          <w:rFonts w:asciiTheme="minorHAnsi" w:eastAsia="Arial Unicode MS" w:hAnsiTheme="minorHAnsi"/>
          <w:color w:val="4F81BD" w:themeColor="accent1"/>
          <w:szCs w:val="24"/>
          <w:u w:val="single"/>
        </w:rPr>
        <w:fldChar w:fldCharType="separate"/>
      </w:r>
      <w:r w:rsidR="00AE78E2" w:rsidRPr="008313ED">
        <w:rPr>
          <w:rFonts w:asciiTheme="minorHAnsi" w:eastAsia="Arial Unicode MS" w:hAnsiTheme="minorHAnsi"/>
          <w:color w:val="4F81BD" w:themeColor="accent1"/>
          <w:szCs w:val="24"/>
          <w:u w:val="single"/>
        </w:rPr>
        <w:t>What facilities are subject to the two-step process?</w:t>
      </w:r>
      <w:r w:rsidR="00AE78E2" w:rsidRPr="008313ED">
        <w:rPr>
          <w:rFonts w:asciiTheme="minorHAnsi" w:eastAsia="Arial Unicode MS" w:hAnsiTheme="minorHAnsi"/>
          <w:color w:val="4F81BD" w:themeColor="accent1"/>
          <w:szCs w:val="24"/>
          <w:u w:val="single"/>
        </w:rPr>
        <w:fldChar w:fldCharType="end"/>
      </w:r>
      <w:r w:rsidR="00504FF3" w:rsidRPr="008313ED">
        <w:rPr>
          <w:rFonts w:asciiTheme="minorHAnsi" w:eastAsia="Arial Unicode MS" w:hAnsiTheme="minorHAnsi"/>
          <w:color w:val="4F81BD" w:themeColor="accent1"/>
          <w:szCs w:val="24"/>
          <w:u w:val="single"/>
        </w:rPr>
        <w:t>”</w:t>
      </w:r>
    </w:p>
    <w:p w14:paraId="0FCDD215" w14:textId="57077B9D" w:rsidR="00240684" w:rsidRPr="008313ED" w:rsidRDefault="00240684" w:rsidP="00240684">
      <w:pPr>
        <w:pStyle w:val="BodyText"/>
        <w:rPr>
          <w:rFonts w:asciiTheme="minorHAnsi" w:eastAsia="Arial Unicode MS" w:hAnsiTheme="minorHAnsi"/>
        </w:rPr>
      </w:pPr>
      <w:r w:rsidRPr="008313ED">
        <w:rPr>
          <w:rFonts w:asciiTheme="minorHAnsi" w:eastAsia="Arial Unicode MS" w:hAnsiTheme="minorHAnsi"/>
        </w:rPr>
        <w:t xml:space="preserve">However, groups of related facilities may opt to participate in pooled source testing by performing </w:t>
      </w:r>
      <w:r w:rsidR="00EE68E7" w:rsidRPr="008313ED">
        <w:rPr>
          <w:rFonts w:asciiTheme="minorHAnsi" w:eastAsia="Arial Unicode MS" w:hAnsiTheme="minorHAnsi"/>
        </w:rPr>
        <w:t>several</w:t>
      </w:r>
      <w:r w:rsidRPr="008313ED">
        <w:rPr>
          <w:rFonts w:asciiTheme="minorHAnsi" w:eastAsia="Arial Unicode MS" w:hAnsiTheme="minorHAnsi"/>
        </w:rPr>
        <w:t xml:space="preserve"> representative source tests and applying the results to each of their respective facilities. Such a proposal shall be submitted for district review and approval with the source test protocol in the emission inventory plan. </w:t>
      </w:r>
      <w:r w:rsidR="0020538D" w:rsidRPr="008313ED">
        <w:rPr>
          <w:rFonts w:asciiTheme="minorHAnsi" w:eastAsia="Arial Unicode MS" w:hAnsiTheme="minorHAnsi"/>
        </w:rPr>
        <w:t xml:space="preserve">For waste handling facilities, the pooled source test proposal is also submitted to CARB for a </w:t>
      </w:r>
      <w:r w:rsidR="001F6983" w:rsidRPr="008313ED">
        <w:rPr>
          <w:rFonts w:asciiTheme="minorHAnsi" w:eastAsia="Arial Unicode MS" w:hAnsiTheme="minorHAnsi"/>
        </w:rPr>
        <w:t>45-day</w:t>
      </w:r>
      <w:r w:rsidR="0020538D" w:rsidRPr="008313ED">
        <w:rPr>
          <w:rFonts w:asciiTheme="minorHAnsi" w:eastAsia="Arial Unicode MS" w:hAnsiTheme="minorHAnsi"/>
        </w:rPr>
        <w:t xml:space="preserve"> review period.</w:t>
      </w:r>
    </w:p>
    <w:p w14:paraId="66011F82" w14:textId="77777777" w:rsidR="00240684" w:rsidRPr="008313ED" w:rsidRDefault="6A79A0BF" w:rsidP="00240684">
      <w:pPr>
        <w:pStyle w:val="Heading3"/>
        <w:rPr>
          <w:rFonts w:asciiTheme="minorHAnsi" w:hAnsiTheme="minorHAnsi"/>
        </w:rPr>
      </w:pPr>
      <w:bookmarkStart w:id="36" w:name="_Toc187305869"/>
      <w:r w:rsidRPr="008313ED">
        <w:rPr>
          <w:rFonts w:asciiTheme="minorHAnsi" w:hAnsiTheme="minorHAnsi"/>
        </w:rPr>
        <w:t>What are some benefits of pooled source testing for the two-step process?</w:t>
      </w:r>
      <w:bookmarkEnd w:id="36"/>
    </w:p>
    <w:p w14:paraId="2BE2DCE9" w14:textId="367E3FD0" w:rsidR="00240684" w:rsidRPr="008313ED" w:rsidRDefault="00240684" w:rsidP="00BB78D5">
      <w:pPr>
        <w:pStyle w:val="BodyText"/>
        <w:rPr>
          <w:rFonts w:asciiTheme="minorHAnsi" w:hAnsiTheme="minorHAnsi"/>
        </w:rPr>
      </w:pPr>
      <w:r w:rsidRPr="008313ED">
        <w:rPr>
          <w:rFonts w:asciiTheme="minorHAnsi" w:eastAsia="Arial Unicode MS" w:hAnsiTheme="minorHAnsi"/>
        </w:rPr>
        <w:t xml:space="preserve">Due to the involvement and complexity inherent to the two-step process and protocol, it may be costly for individual facilities to take on these requirements individually. Combining financial and staff resources for the two-step process can save time and money. Information on pooled source testing is found in Section IX.B of the </w:t>
      </w:r>
      <w:hyperlink r:id="rId41">
        <w:r w:rsidRPr="008313ED">
          <w:rPr>
            <w:rStyle w:val="Hyperlink"/>
            <w:rFonts w:asciiTheme="minorHAnsi" w:eastAsia="Arial Unicode MS" w:hAnsiTheme="minorHAnsi"/>
          </w:rPr>
          <w:t>EICG</w:t>
        </w:r>
      </w:hyperlink>
      <w:r w:rsidRPr="008313ED">
        <w:rPr>
          <w:rFonts w:asciiTheme="minorHAnsi" w:eastAsia="Arial Unicode MS" w:hAnsiTheme="minorHAnsi"/>
        </w:rPr>
        <w:t>.</w:t>
      </w:r>
      <w:r w:rsidR="00576CF0" w:rsidRPr="008313ED">
        <w:rPr>
          <w:rFonts w:asciiTheme="minorHAnsi" w:eastAsia="Arial Unicode MS" w:hAnsiTheme="minorHAnsi"/>
        </w:rPr>
        <w:t xml:space="preserve"> (Pooled source testing is an option provided for all types of facilities subject to source testing requirements under the EICG)</w:t>
      </w:r>
      <w:r w:rsidR="00864958" w:rsidRPr="008313ED">
        <w:rPr>
          <w:rFonts w:asciiTheme="minorHAnsi" w:eastAsia="Arial Unicode MS" w:hAnsiTheme="minorHAnsi"/>
        </w:rPr>
        <w:t>.</w:t>
      </w:r>
    </w:p>
    <w:p w14:paraId="2B215844" w14:textId="369ABF7E" w:rsidR="00BB78D5" w:rsidRPr="008313ED" w:rsidRDefault="6BFE12A9" w:rsidP="00BB78D5">
      <w:pPr>
        <w:pStyle w:val="Heading3"/>
        <w:rPr>
          <w:rFonts w:asciiTheme="minorHAnsi" w:hAnsiTheme="minorHAnsi"/>
        </w:rPr>
      </w:pPr>
      <w:bookmarkStart w:id="37" w:name="_Toc187305870"/>
      <w:r w:rsidRPr="008313ED">
        <w:rPr>
          <w:rFonts w:asciiTheme="minorHAnsi" w:hAnsiTheme="minorHAnsi"/>
        </w:rPr>
        <w:t xml:space="preserve">How does </w:t>
      </w:r>
      <w:r w:rsidR="5CF16044" w:rsidRPr="008313ED">
        <w:rPr>
          <w:rFonts w:asciiTheme="minorHAnsi" w:hAnsiTheme="minorHAnsi"/>
        </w:rPr>
        <w:t xml:space="preserve">EICG </w:t>
      </w:r>
      <w:r w:rsidRPr="008313ED">
        <w:rPr>
          <w:rFonts w:asciiTheme="minorHAnsi" w:hAnsiTheme="minorHAnsi"/>
        </w:rPr>
        <w:t>Section IX provide a hierarchy from source testing</w:t>
      </w:r>
      <w:r w:rsidR="526C9DBD" w:rsidRPr="008313ED">
        <w:rPr>
          <w:rFonts w:asciiTheme="minorHAnsi" w:hAnsiTheme="minorHAnsi"/>
        </w:rPr>
        <w:t xml:space="preserve"> to emission estimation</w:t>
      </w:r>
      <w:r w:rsidRPr="008313ED">
        <w:rPr>
          <w:rFonts w:asciiTheme="minorHAnsi" w:hAnsiTheme="minorHAnsi"/>
        </w:rPr>
        <w:t>?</w:t>
      </w:r>
      <w:bookmarkEnd w:id="37"/>
    </w:p>
    <w:p w14:paraId="3DF29EEB" w14:textId="4C6B47A6" w:rsidR="008969FF" w:rsidRPr="008313ED" w:rsidRDefault="7D219C3A">
      <w:pPr>
        <w:rPr>
          <w:rFonts w:asciiTheme="minorHAnsi" w:eastAsia="Times New Roman" w:hAnsiTheme="minorHAnsi"/>
          <w:b/>
          <w:bCs/>
          <w:color w:val="1F8BBF"/>
          <w:sz w:val="32"/>
          <w:szCs w:val="32"/>
        </w:rPr>
      </w:pPr>
      <w:r w:rsidRPr="008313ED">
        <w:rPr>
          <w:rFonts w:asciiTheme="minorHAnsi" w:hAnsiTheme="minorHAnsi"/>
        </w:rPr>
        <w:t xml:space="preserve">EICG </w:t>
      </w:r>
      <w:r w:rsidR="3D8DA730" w:rsidRPr="008313ED">
        <w:rPr>
          <w:rFonts w:asciiTheme="minorHAnsi" w:hAnsiTheme="minorHAnsi"/>
        </w:rPr>
        <w:t xml:space="preserve">Section IX is organized starting with </w:t>
      </w:r>
      <w:r w:rsidR="64B11B2D" w:rsidRPr="008313ED">
        <w:rPr>
          <w:rFonts w:asciiTheme="minorHAnsi" w:hAnsiTheme="minorHAnsi"/>
        </w:rPr>
        <w:t xml:space="preserve">sources </w:t>
      </w:r>
      <w:r w:rsidR="48975D83" w:rsidRPr="008313ED">
        <w:rPr>
          <w:rFonts w:asciiTheme="minorHAnsi" w:hAnsiTheme="minorHAnsi"/>
        </w:rPr>
        <w:t xml:space="preserve">for which </w:t>
      </w:r>
      <w:r w:rsidR="64B11B2D" w:rsidRPr="008313ED">
        <w:rPr>
          <w:rFonts w:asciiTheme="minorHAnsi" w:hAnsiTheme="minorHAnsi"/>
        </w:rPr>
        <w:t>Appendix D requires source testing and measurement</w:t>
      </w:r>
      <w:r w:rsidR="0BB9EFB9" w:rsidRPr="008313ED">
        <w:rPr>
          <w:rFonts w:asciiTheme="minorHAnsi" w:hAnsiTheme="minorHAnsi"/>
        </w:rPr>
        <w:t xml:space="preserve"> (some small business alternatives are also provided in Appendix D). </w:t>
      </w:r>
      <w:r w:rsidR="001F45C3" w:rsidRPr="008313ED">
        <w:rPr>
          <w:rFonts w:asciiTheme="minorHAnsi" w:hAnsiTheme="minorHAnsi"/>
        </w:rPr>
        <w:t>Following,</w:t>
      </w:r>
      <w:r w:rsidR="0BB9EFB9" w:rsidRPr="008313ED">
        <w:rPr>
          <w:rFonts w:asciiTheme="minorHAnsi" w:hAnsiTheme="minorHAnsi"/>
        </w:rPr>
        <w:t xml:space="preserve"> Section IX</w:t>
      </w:r>
      <w:r w:rsidR="54C4CC0E" w:rsidRPr="008313ED">
        <w:rPr>
          <w:rFonts w:asciiTheme="minorHAnsi" w:hAnsiTheme="minorHAnsi"/>
        </w:rPr>
        <w:t xml:space="preserve"> provides options for </w:t>
      </w:r>
      <w:r w:rsidR="6F4E6459" w:rsidRPr="008313ED">
        <w:rPr>
          <w:rFonts w:asciiTheme="minorHAnsi" w:hAnsiTheme="minorHAnsi"/>
        </w:rPr>
        <w:t>pooled source testing, and various alternatives to required source testing</w:t>
      </w:r>
      <w:r w:rsidR="00762B50" w:rsidRPr="008313ED">
        <w:rPr>
          <w:rFonts w:asciiTheme="minorHAnsi" w:hAnsiTheme="minorHAnsi"/>
        </w:rPr>
        <w:t xml:space="preserve"> </w:t>
      </w:r>
      <w:r w:rsidR="001F45C3" w:rsidRPr="008313ED">
        <w:rPr>
          <w:rFonts w:asciiTheme="minorHAnsi" w:hAnsiTheme="minorHAnsi"/>
        </w:rPr>
        <w:t>including</w:t>
      </w:r>
      <w:r w:rsidR="00762B50" w:rsidRPr="008313ED">
        <w:rPr>
          <w:rFonts w:asciiTheme="minorHAnsi" w:hAnsiTheme="minorHAnsi"/>
        </w:rPr>
        <w:t xml:space="preserve"> alternatives to required source testing</w:t>
      </w:r>
      <w:r w:rsidR="00065D53" w:rsidRPr="008313ED">
        <w:rPr>
          <w:rFonts w:asciiTheme="minorHAnsi" w:hAnsiTheme="minorHAnsi"/>
        </w:rPr>
        <w:t xml:space="preserve"> such as using CARB approved emission factors derived from the</w:t>
      </w:r>
      <w:r w:rsidR="00786036" w:rsidRPr="008313ED">
        <w:rPr>
          <w:rFonts w:asciiTheme="minorHAnsi" w:hAnsiTheme="minorHAnsi"/>
        </w:rPr>
        <w:t xml:space="preserve"> Hot Spots source tests</w:t>
      </w:r>
      <w:r w:rsidR="0085312E" w:rsidRPr="008313ED">
        <w:rPr>
          <w:rFonts w:asciiTheme="minorHAnsi" w:hAnsiTheme="minorHAnsi"/>
        </w:rPr>
        <w:t xml:space="preserve"> as </w:t>
      </w:r>
      <w:r w:rsidR="00CD6416" w:rsidRPr="008313ED">
        <w:rPr>
          <w:rFonts w:asciiTheme="minorHAnsi" w:hAnsiTheme="minorHAnsi"/>
        </w:rPr>
        <w:t>described</w:t>
      </w:r>
      <w:r w:rsidR="0085312E" w:rsidRPr="008313ED">
        <w:rPr>
          <w:rFonts w:asciiTheme="minorHAnsi" w:hAnsiTheme="minorHAnsi"/>
        </w:rPr>
        <w:t xml:space="preserve"> in Section IX</w:t>
      </w:r>
      <w:r w:rsidR="00FB7901" w:rsidRPr="008313ED">
        <w:rPr>
          <w:rFonts w:asciiTheme="minorHAnsi" w:hAnsiTheme="minorHAnsi"/>
        </w:rPr>
        <w:t>.D</w:t>
      </w:r>
      <w:r w:rsidR="6F4E6459" w:rsidRPr="008313ED">
        <w:rPr>
          <w:rFonts w:asciiTheme="minorHAnsi" w:hAnsiTheme="minorHAnsi"/>
        </w:rPr>
        <w:t xml:space="preserve">. </w:t>
      </w:r>
      <w:r w:rsidR="031D3CFD" w:rsidRPr="008313ED">
        <w:rPr>
          <w:rFonts w:asciiTheme="minorHAnsi" w:hAnsiTheme="minorHAnsi"/>
        </w:rPr>
        <w:t xml:space="preserve"> </w:t>
      </w:r>
      <w:r w:rsidR="1AC44577" w:rsidRPr="008313ED">
        <w:rPr>
          <w:rFonts w:asciiTheme="minorHAnsi" w:hAnsiTheme="minorHAnsi"/>
        </w:rPr>
        <w:t xml:space="preserve">other cases, where </w:t>
      </w:r>
      <w:r w:rsidRPr="008313ED">
        <w:rPr>
          <w:rFonts w:asciiTheme="minorHAnsi" w:hAnsiTheme="minorHAnsi"/>
        </w:rPr>
        <w:t xml:space="preserve">source testing is not explicitly required, Section IX provides specifications for acceptable estimation methods, emission factors, </w:t>
      </w:r>
      <w:r w:rsidR="4094DAEF" w:rsidRPr="008313ED">
        <w:rPr>
          <w:rFonts w:asciiTheme="minorHAnsi" w:hAnsiTheme="minorHAnsi"/>
        </w:rPr>
        <w:t>engineering calculations</w:t>
      </w:r>
      <w:r w:rsidR="24DDCD6C" w:rsidRPr="008313ED">
        <w:rPr>
          <w:rFonts w:asciiTheme="minorHAnsi" w:hAnsiTheme="minorHAnsi"/>
        </w:rPr>
        <w:t>,</w:t>
      </w:r>
      <w:r w:rsidR="4094DAEF" w:rsidRPr="008313ED">
        <w:rPr>
          <w:rFonts w:asciiTheme="minorHAnsi" w:hAnsiTheme="minorHAnsi"/>
        </w:rPr>
        <w:t xml:space="preserve"> and other approaches</w:t>
      </w:r>
      <w:r w:rsidR="3B656C2A" w:rsidRPr="008313ED">
        <w:rPr>
          <w:rFonts w:asciiTheme="minorHAnsi" w:hAnsiTheme="minorHAnsi"/>
        </w:rPr>
        <w:t xml:space="preserve"> that can be used</w:t>
      </w:r>
      <w:r w:rsidR="4094DAEF" w:rsidRPr="008313ED">
        <w:rPr>
          <w:rFonts w:asciiTheme="minorHAnsi" w:hAnsiTheme="minorHAnsi"/>
        </w:rPr>
        <w:t xml:space="preserve"> to quantify emissions.</w:t>
      </w:r>
      <w:r w:rsidR="375232A8" w:rsidRPr="008313ED">
        <w:rPr>
          <w:rFonts w:asciiTheme="minorHAnsi" w:hAnsiTheme="minorHAnsi"/>
        </w:rPr>
        <w:t xml:space="preserve"> See EICG Section IX for the details</w:t>
      </w:r>
      <w:r w:rsidR="5FE612E3" w:rsidRPr="008313ED">
        <w:rPr>
          <w:rFonts w:asciiTheme="minorHAnsi" w:hAnsiTheme="minorHAnsi"/>
        </w:rPr>
        <w:t>, and how to ensure emissions are characterized to the degree of accuracy required by Section VIII.E.</w:t>
      </w:r>
      <w:r w:rsidR="008969FF" w:rsidRPr="008313ED">
        <w:rPr>
          <w:rFonts w:asciiTheme="minorHAnsi" w:hAnsiTheme="minorHAnsi"/>
        </w:rPr>
        <w:br w:type="page"/>
      </w:r>
    </w:p>
    <w:p w14:paraId="591FB302" w14:textId="180975A3" w:rsidR="008969FF" w:rsidRPr="008313ED" w:rsidRDefault="7C4AB222" w:rsidP="008969FF">
      <w:pPr>
        <w:pStyle w:val="Heading1"/>
        <w:rPr>
          <w:rFonts w:asciiTheme="minorHAnsi" w:hAnsiTheme="minorHAnsi"/>
        </w:rPr>
      </w:pPr>
      <w:bookmarkStart w:id="38" w:name="_Toc187305871"/>
      <w:r w:rsidRPr="008313ED">
        <w:rPr>
          <w:rFonts w:asciiTheme="minorHAnsi" w:hAnsiTheme="minorHAnsi"/>
        </w:rPr>
        <w:t>Required Reporting of Toxic Substances</w:t>
      </w:r>
      <w:r w:rsidR="6A79A0BF" w:rsidRPr="008313ED">
        <w:rPr>
          <w:rFonts w:asciiTheme="minorHAnsi" w:hAnsiTheme="minorHAnsi"/>
        </w:rPr>
        <w:t xml:space="preserve"> and Appendix A</w:t>
      </w:r>
      <w:bookmarkEnd w:id="38"/>
    </w:p>
    <w:p w14:paraId="1D3835DD" w14:textId="60D4A736" w:rsidR="00240684" w:rsidRPr="008313ED" w:rsidRDefault="6A79A0BF" w:rsidP="008969FF">
      <w:pPr>
        <w:pStyle w:val="Heading3"/>
        <w:rPr>
          <w:rFonts w:asciiTheme="minorHAnsi" w:hAnsiTheme="minorHAnsi"/>
        </w:rPr>
      </w:pPr>
      <w:bookmarkStart w:id="39" w:name="_Toc187305872"/>
      <w:r w:rsidRPr="008313ED">
        <w:rPr>
          <w:rFonts w:asciiTheme="minorHAnsi" w:hAnsiTheme="minorHAnsi"/>
        </w:rPr>
        <w:t>Which</w:t>
      </w:r>
      <w:r w:rsidRPr="008313ED">
        <w:rPr>
          <w:rFonts w:asciiTheme="minorHAnsi" w:hAnsiTheme="minorHAnsi"/>
          <w:spacing w:val="-4"/>
        </w:rPr>
        <w:t xml:space="preserve"> </w:t>
      </w:r>
      <w:r w:rsidRPr="008313ED">
        <w:rPr>
          <w:rFonts w:asciiTheme="minorHAnsi" w:hAnsiTheme="minorHAnsi"/>
        </w:rPr>
        <w:t>pollutants</w:t>
      </w:r>
      <w:r w:rsidRPr="008313ED">
        <w:rPr>
          <w:rFonts w:asciiTheme="minorHAnsi" w:hAnsiTheme="minorHAnsi"/>
          <w:spacing w:val="-4"/>
        </w:rPr>
        <w:t xml:space="preserve"> </w:t>
      </w:r>
      <w:r w:rsidRPr="008313ED">
        <w:rPr>
          <w:rFonts w:asciiTheme="minorHAnsi" w:hAnsiTheme="minorHAnsi"/>
        </w:rPr>
        <w:t>must</w:t>
      </w:r>
      <w:r w:rsidRPr="008313ED">
        <w:rPr>
          <w:rFonts w:asciiTheme="minorHAnsi" w:hAnsiTheme="minorHAnsi"/>
          <w:spacing w:val="-4"/>
        </w:rPr>
        <w:t xml:space="preserve"> </w:t>
      </w:r>
      <w:r w:rsidRPr="008313ED">
        <w:rPr>
          <w:rFonts w:asciiTheme="minorHAnsi" w:hAnsiTheme="minorHAnsi"/>
        </w:rPr>
        <w:t>be</w:t>
      </w:r>
      <w:r w:rsidRPr="008313ED">
        <w:rPr>
          <w:rFonts w:asciiTheme="minorHAnsi" w:hAnsiTheme="minorHAnsi"/>
          <w:spacing w:val="-3"/>
        </w:rPr>
        <w:t xml:space="preserve"> </w:t>
      </w:r>
      <w:r w:rsidRPr="008313ED">
        <w:rPr>
          <w:rFonts w:asciiTheme="minorHAnsi" w:hAnsiTheme="minorHAnsi"/>
        </w:rPr>
        <w:t>reported under AB 2588 and by when?</w:t>
      </w:r>
      <w:bookmarkEnd w:id="39"/>
    </w:p>
    <w:p w14:paraId="5D09DC0F" w14:textId="74B425BC" w:rsidR="00240684" w:rsidRPr="008313ED" w:rsidRDefault="00240684" w:rsidP="00686254">
      <w:pPr>
        <w:pStyle w:val="NoSpacing"/>
        <w:rPr>
          <w:rFonts w:asciiTheme="minorHAnsi" w:hAnsiTheme="minorHAnsi"/>
        </w:rPr>
      </w:pPr>
      <w:r w:rsidRPr="008313ED">
        <w:rPr>
          <w:rFonts w:asciiTheme="minorHAnsi" w:hAnsiTheme="minorHAnsi"/>
        </w:rPr>
        <w:t xml:space="preserve">Appendix A of the EICG includes a list of substances that must be </w:t>
      </w:r>
      <w:r w:rsidR="00C06824" w:rsidRPr="008313ED">
        <w:rPr>
          <w:rFonts w:asciiTheme="minorHAnsi" w:hAnsiTheme="minorHAnsi"/>
        </w:rPr>
        <w:t>reported,</w:t>
      </w:r>
      <w:r w:rsidRPr="008313ED">
        <w:rPr>
          <w:rFonts w:asciiTheme="minorHAnsi" w:hAnsiTheme="minorHAnsi"/>
        </w:rPr>
        <w:t xml:space="preserve"> and it is divided into three sub-appendices. </w:t>
      </w:r>
      <w:r w:rsidR="009E438D" w:rsidRPr="008313ED">
        <w:rPr>
          <w:rFonts w:asciiTheme="minorHAnsi" w:hAnsiTheme="minorHAnsi"/>
        </w:rPr>
        <w:t>Appendix A-I</w:t>
      </w:r>
      <w:r w:rsidRPr="008313ED">
        <w:rPr>
          <w:rFonts w:asciiTheme="minorHAnsi" w:hAnsiTheme="minorHAnsi"/>
        </w:rPr>
        <w:t xml:space="preserve"> includes substances for which emissions must be quantified, Appendix A-II includes substances for which production, use or other presence must be </w:t>
      </w:r>
      <w:r w:rsidR="000E3E0C" w:rsidRPr="008313ED">
        <w:rPr>
          <w:rFonts w:asciiTheme="minorHAnsi" w:hAnsiTheme="minorHAnsi"/>
        </w:rPr>
        <w:t>reported,</w:t>
      </w:r>
      <w:r w:rsidRPr="008313ED">
        <w:rPr>
          <w:rFonts w:asciiTheme="minorHAnsi" w:hAnsiTheme="minorHAnsi"/>
        </w:rPr>
        <w:t xml:space="preserve"> and Appendix A-III includes substances which need not be reported unless manufactured by the facility. </w:t>
      </w:r>
    </w:p>
    <w:p w14:paraId="06BC674B" w14:textId="77777777" w:rsidR="00686254" w:rsidRPr="008313ED" w:rsidRDefault="00686254" w:rsidP="00686254">
      <w:pPr>
        <w:pStyle w:val="NoSpacing"/>
        <w:rPr>
          <w:rFonts w:asciiTheme="minorHAnsi" w:hAnsiTheme="minorHAnsi"/>
        </w:rPr>
      </w:pPr>
    </w:p>
    <w:p w14:paraId="2F83F19A" w14:textId="7C55F4A1" w:rsidR="006C59B8" w:rsidRPr="008313ED" w:rsidRDefault="0021036C" w:rsidP="00686254">
      <w:pPr>
        <w:pStyle w:val="NoSpacing"/>
        <w:rPr>
          <w:rFonts w:asciiTheme="minorHAnsi" w:hAnsiTheme="minorHAnsi"/>
        </w:rPr>
      </w:pPr>
      <w:r w:rsidRPr="008313ED">
        <w:rPr>
          <w:rFonts w:asciiTheme="minorHAnsi" w:hAnsiTheme="minorHAnsi"/>
        </w:rPr>
        <w:t xml:space="preserve">Reporting of </w:t>
      </w:r>
      <w:r w:rsidR="00240684" w:rsidRPr="008313ED">
        <w:rPr>
          <w:rFonts w:asciiTheme="minorHAnsi" w:hAnsiTheme="minorHAnsi"/>
        </w:rPr>
        <w:t>Appendix A-I substances are to be phased in between data years 2022 through 2028. Substances in Appendix A which are denoted in the “Effective Phase” column as “</w:t>
      </w:r>
      <w:r w:rsidR="102EF77A" w:rsidRPr="008313ED">
        <w:rPr>
          <w:rFonts w:asciiTheme="minorHAnsi" w:hAnsiTheme="minorHAnsi"/>
        </w:rPr>
        <w:t>ChemSet1</w:t>
      </w:r>
      <w:r w:rsidR="00240684" w:rsidRPr="008313ED">
        <w:rPr>
          <w:rFonts w:asciiTheme="minorHAnsi" w:hAnsiTheme="minorHAnsi"/>
        </w:rPr>
        <w:t>” or “</w:t>
      </w:r>
      <w:proofErr w:type="spellStart"/>
      <w:r w:rsidR="00240684" w:rsidRPr="008313ED">
        <w:rPr>
          <w:rFonts w:asciiTheme="minorHAnsi" w:hAnsiTheme="minorHAnsi"/>
        </w:rPr>
        <w:t>ExistGrp</w:t>
      </w:r>
      <w:proofErr w:type="spellEnd"/>
      <w:r w:rsidR="102EF77A" w:rsidRPr="008313ED">
        <w:rPr>
          <w:rFonts w:asciiTheme="minorHAnsi" w:hAnsiTheme="minorHAnsi"/>
        </w:rPr>
        <w:t>”,</w:t>
      </w:r>
      <w:r w:rsidR="00240684" w:rsidRPr="008313ED">
        <w:rPr>
          <w:rFonts w:asciiTheme="minorHAnsi" w:hAnsiTheme="minorHAnsi"/>
        </w:rPr>
        <w:t xml:space="preserve"> have an effective initial emission data quantification year of 2022</w:t>
      </w:r>
      <w:r w:rsidR="00240684" w:rsidRPr="008313ED">
        <w:rPr>
          <w:rFonts w:asciiTheme="minorHAnsi" w:hAnsiTheme="minorHAnsi"/>
          <w:b/>
        </w:rPr>
        <w:t xml:space="preserve"> </w:t>
      </w:r>
      <w:r w:rsidR="00240684" w:rsidRPr="008313ED">
        <w:rPr>
          <w:rFonts w:asciiTheme="minorHAnsi" w:hAnsiTheme="minorHAnsi"/>
        </w:rPr>
        <w:t xml:space="preserve">shown in Table 2 from EICG Section II.H(2) and for the applicable District Group as shown in the EICG Appendix E, Table E-2. </w:t>
      </w:r>
    </w:p>
    <w:p w14:paraId="5005A40F" w14:textId="77777777" w:rsidR="006C59B8" w:rsidRPr="008313ED" w:rsidRDefault="006C59B8" w:rsidP="00686254">
      <w:pPr>
        <w:pStyle w:val="NoSpacing"/>
        <w:rPr>
          <w:rFonts w:asciiTheme="minorHAnsi" w:hAnsiTheme="minorHAnsi"/>
        </w:rPr>
      </w:pPr>
    </w:p>
    <w:p w14:paraId="02B092A2" w14:textId="77777777" w:rsidR="00594D64" w:rsidRPr="008313ED" w:rsidRDefault="00240684" w:rsidP="00686254">
      <w:pPr>
        <w:pStyle w:val="NoSpacing"/>
        <w:rPr>
          <w:rFonts w:asciiTheme="minorHAnsi" w:hAnsiTheme="minorHAnsi"/>
        </w:rPr>
      </w:pPr>
      <w:r w:rsidRPr="008313ED">
        <w:rPr>
          <w:rFonts w:asciiTheme="minorHAnsi" w:hAnsiTheme="minorHAnsi"/>
        </w:rPr>
        <w:t>The “</w:t>
      </w:r>
      <w:proofErr w:type="spellStart"/>
      <w:r w:rsidRPr="008313ED">
        <w:rPr>
          <w:rFonts w:asciiTheme="minorHAnsi" w:hAnsiTheme="minorHAnsi"/>
        </w:rPr>
        <w:t>ExistGrp</w:t>
      </w:r>
      <w:proofErr w:type="spellEnd"/>
      <w:r w:rsidRPr="008313ED">
        <w:rPr>
          <w:rFonts w:asciiTheme="minorHAnsi" w:hAnsiTheme="minorHAnsi"/>
        </w:rPr>
        <w:t>” term is used for existing metals, where the “metals and their metal compounds” have already been included on the existing Appendix A list</w:t>
      </w:r>
      <w:r w:rsidR="102EF77A" w:rsidRPr="008313ED">
        <w:rPr>
          <w:rFonts w:asciiTheme="minorHAnsi" w:hAnsiTheme="minorHAnsi"/>
        </w:rPr>
        <w:t>.</w:t>
      </w:r>
      <w:r w:rsidR="009E438D" w:rsidRPr="008313ED">
        <w:rPr>
          <w:rFonts w:asciiTheme="minorHAnsi" w:hAnsiTheme="minorHAnsi"/>
        </w:rPr>
        <w:t xml:space="preserve"> </w:t>
      </w:r>
    </w:p>
    <w:p w14:paraId="5D780083" w14:textId="77777777" w:rsidR="00594D64" w:rsidRPr="008313ED" w:rsidRDefault="00594D64" w:rsidP="00686254">
      <w:pPr>
        <w:pStyle w:val="NoSpacing"/>
        <w:rPr>
          <w:rFonts w:asciiTheme="minorHAnsi" w:hAnsiTheme="minorHAnsi"/>
        </w:rPr>
      </w:pPr>
    </w:p>
    <w:p w14:paraId="263CF081" w14:textId="4AF6145D" w:rsidR="00240684" w:rsidRPr="008313ED" w:rsidRDefault="00240684" w:rsidP="00686254">
      <w:pPr>
        <w:pStyle w:val="NoSpacing"/>
        <w:rPr>
          <w:rFonts w:asciiTheme="minorHAnsi" w:hAnsiTheme="minorHAnsi"/>
        </w:rPr>
      </w:pPr>
      <w:r w:rsidRPr="008313ED">
        <w:rPr>
          <w:rFonts w:asciiTheme="minorHAnsi" w:hAnsiTheme="minorHAnsi"/>
        </w:rPr>
        <w:t>Substances added to Appendix A, which have no delayed phase</w:t>
      </w:r>
      <w:r w:rsidR="30368C73" w:rsidRPr="008313ED">
        <w:rPr>
          <w:rFonts w:asciiTheme="minorHAnsi" w:hAnsiTheme="minorHAnsi"/>
        </w:rPr>
        <w:t>-</w:t>
      </w:r>
      <w:r w:rsidRPr="008313ED">
        <w:rPr>
          <w:rFonts w:asciiTheme="minorHAnsi" w:hAnsiTheme="minorHAnsi"/>
        </w:rPr>
        <w:t xml:space="preserve">in provisions denoted in the “Effective Phase” column of Appendix A, are denoted as “e” for existing substances which were part of Appendix A prior to the 2020 amendments. See EICG Section II.H, Appendix A as well as Appendix E for more details. </w:t>
      </w:r>
    </w:p>
    <w:p w14:paraId="0AE34A53" w14:textId="77777777" w:rsidR="00240684" w:rsidRPr="008313ED" w:rsidRDefault="00240684" w:rsidP="00240684">
      <w:pPr>
        <w:keepNext/>
        <w:keepLines/>
        <w:suppressAutoHyphens/>
        <w:spacing w:after="240"/>
        <w:ind w:left="1080" w:right="576"/>
        <w:jc w:val="center"/>
        <w:rPr>
          <w:rFonts w:asciiTheme="minorHAnsi" w:hAnsiTheme="minorHAnsi"/>
        </w:rPr>
      </w:pPr>
      <w:r w:rsidRPr="008313ED">
        <w:rPr>
          <w:rFonts w:asciiTheme="minorHAnsi" w:hAnsiTheme="minorHAnsi"/>
        </w:rPr>
        <w:t>EICG Section II.H(2) Table 2. Effective Initial Emission Data Quantification Year for New Substances</w:t>
      </w:r>
    </w:p>
    <w:tbl>
      <w:tblPr>
        <w:tblStyle w:val="TableGrid"/>
        <w:tblW w:w="0" w:type="auto"/>
        <w:jc w:val="center"/>
        <w:tblLook w:val="04A0" w:firstRow="1" w:lastRow="0" w:firstColumn="1" w:lastColumn="0" w:noHBand="0" w:noVBand="1"/>
        <w:tblCaption w:val="Table 2"/>
        <w:tblDescription w:val="Effective Initial Emission Data Quantification Year for New Substances"/>
      </w:tblPr>
      <w:tblGrid>
        <w:gridCol w:w="1615"/>
        <w:gridCol w:w="2488"/>
        <w:gridCol w:w="2334"/>
        <w:gridCol w:w="2577"/>
      </w:tblGrid>
      <w:tr w:rsidR="00240684" w:rsidRPr="008313ED" w14:paraId="2BE17DF7" w14:textId="77777777" w:rsidTr="00BE4F4B">
        <w:trPr>
          <w:trHeight w:val="434"/>
          <w:tblHeader/>
          <w:jc w:val="center"/>
        </w:trPr>
        <w:tc>
          <w:tcPr>
            <w:tcW w:w="1615" w:type="dxa"/>
          </w:tcPr>
          <w:p w14:paraId="4CA7143D" w14:textId="77777777" w:rsidR="00240684" w:rsidRPr="008313ED" w:rsidRDefault="00240684">
            <w:pPr>
              <w:keepNext/>
              <w:keepLines/>
              <w:suppressAutoHyphens/>
              <w:ind w:right="576"/>
              <w:rPr>
                <w:rFonts w:asciiTheme="minorHAnsi" w:hAnsiTheme="minorHAnsi"/>
              </w:rPr>
            </w:pPr>
            <w:r w:rsidRPr="008313ED">
              <w:rPr>
                <w:rFonts w:asciiTheme="minorHAnsi" w:hAnsiTheme="minorHAnsi"/>
              </w:rPr>
              <w:t xml:space="preserve"> </w:t>
            </w:r>
          </w:p>
        </w:tc>
        <w:tc>
          <w:tcPr>
            <w:tcW w:w="7399" w:type="dxa"/>
            <w:gridSpan w:val="3"/>
            <w:vAlign w:val="center"/>
          </w:tcPr>
          <w:p w14:paraId="40C049F1" w14:textId="77777777" w:rsidR="00240684" w:rsidRPr="008313ED" w:rsidRDefault="00240684">
            <w:pPr>
              <w:keepNext/>
              <w:keepLines/>
              <w:suppressAutoHyphens/>
              <w:ind w:right="196"/>
              <w:rPr>
                <w:rFonts w:asciiTheme="minorHAnsi" w:hAnsiTheme="minorHAnsi"/>
              </w:rPr>
            </w:pPr>
            <w:r w:rsidRPr="008313ED">
              <w:rPr>
                <w:rFonts w:asciiTheme="minorHAnsi" w:hAnsiTheme="minorHAnsi"/>
                <w:sz w:val="22"/>
              </w:rPr>
              <w:t>Effective Initial Emission Data Quantification Year for New Substances</w:t>
            </w:r>
          </w:p>
        </w:tc>
      </w:tr>
      <w:tr w:rsidR="00240684" w:rsidRPr="008313ED" w14:paraId="74D10A9D" w14:textId="77777777" w:rsidTr="00BE4F4B">
        <w:trPr>
          <w:trHeight w:val="335"/>
          <w:jc w:val="center"/>
        </w:trPr>
        <w:tc>
          <w:tcPr>
            <w:tcW w:w="1615" w:type="dxa"/>
            <w:vAlign w:val="center"/>
          </w:tcPr>
          <w:p w14:paraId="04AA374A" w14:textId="77777777" w:rsidR="00240684" w:rsidRPr="008313ED" w:rsidRDefault="00240684">
            <w:pPr>
              <w:keepNext/>
              <w:keepLines/>
              <w:suppressAutoHyphens/>
              <w:jc w:val="center"/>
              <w:rPr>
                <w:rFonts w:asciiTheme="minorHAnsi" w:hAnsiTheme="minorHAnsi"/>
              </w:rPr>
            </w:pPr>
            <w:r w:rsidRPr="008313ED">
              <w:rPr>
                <w:rFonts w:asciiTheme="minorHAnsi" w:hAnsiTheme="minorHAnsi"/>
              </w:rPr>
              <w:t>District Group</w:t>
            </w:r>
          </w:p>
        </w:tc>
        <w:tc>
          <w:tcPr>
            <w:tcW w:w="2488" w:type="dxa"/>
            <w:vAlign w:val="center"/>
          </w:tcPr>
          <w:p w14:paraId="1117BB19" w14:textId="77777777" w:rsidR="00240684" w:rsidRPr="008313ED" w:rsidRDefault="00240684">
            <w:pPr>
              <w:keepNext/>
              <w:keepLines/>
              <w:suppressAutoHyphens/>
              <w:jc w:val="center"/>
              <w:rPr>
                <w:rFonts w:asciiTheme="minorHAnsi" w:hAnsiTheme="minorHAnsi"/>
              </w:rPr>
            </w:pPr>
            <w:proofErr w:type="spellStart"/>
            <w:r w:rsidRPr="008313ED">
              <w:rPr>
                <w:rFonts w:asciiTheme="minorHAnsi" w:hAnsiTheme="minorHAnsi"/>
              </w:rPr>
              <w:t>ExistGrp</w:t>
            </w:r>
            <w:proofErr w:type="spellEnd"/>
          </w:p>
        </w:tc>
        <w:tc>
          <w:tcPr>
            <w:tcW w:w="2334" w:type="dxa"/>
            <w:vAlign w:val="center"/>
          </w:tcPr>
          <w:p w14:paraId="56715DCF" w14:textId="77777777" w:rsidR="00240684" w:rsidRPr="008313ED" w:rsidRDefault="00240684">
            <w:pPr>
              <w:keepNext/>
              <w:keepLines/>
              <w:suppressAutoHyphens/>
              <w:ind w:right="345"/>
              <w:jc w:val="center"/>
              <w:rPr>
                <w:rFonts w:asciiTheme="minorHAnsi" w:hAnsiTheme="minorHAnsi"/>
              </w:rPr>
            </w:pPr>
            <w:r w:rsidRPr="008313ED">
              <w:rPr>
                <w:rFonts w:asciiTheme="minorHAnsi" w:hAnsiTheme="minorHAnsi"/>
              </w:rPr>
              <w:t>ChemSet</w:t>
            </w:r>
            <w:r w:rsidRPr="008313ED">
              <w:rPr>
                <w:rFonts w:asciiTheme="minorHAnsi" w:hAnsiTheme="minorHAnsi"/>
              </w:rPr>
              <w:noBreakHyphen/>
              <w:t>1</w:t>
            </w:r>
          </w:p>
        </w:tc>
        <w:tc>
          <w:tcPr>
            <w:tcW w:w="2577" w:type="dxa"/>
            <w:vAlign w:val="center"/>
          </w:tcPr>
          <w:p w14:paraId="5628C316" w14:textId="77777777" w:rsidR="00240684" w:rsidRPr="008313ED" w:rsidRDefault="00240684">
            <w:pPr>
              <w:keepNext/>
              <w:keepLines/>
              <w:suppressAutoHyphens/>
              <w:ind w:right="286"/>
              <w:jc w:val="center"/>
              <w:rPr>
                <w:rFonts w:asciiTheme="minorHAnsi" w:hAnsiTheme="minorHAnsi"/>
              </w:rPr>
            </w:pPr>
            <w:r w:rsidRPr="008313ED">
              <w:rPr>
                <w:rFonts w:asciiTheme="minorHAnsi" w:hAnsiTheme="minorHAnsi"/>
              </w:rPr>
              <w:t>ChemSet-2</w:t>
            </w:r>
          </w:p>
        </w:tc>
      </w:tr>
      <w:tr w:rsidR="00240684" w:rsidRPr="008313ED" w14:paraId="7A612962" w14:textId="77777777" w:rsidTr="00BE4F4B">
        <w:trPr>
          <w:trHeight w:val="380"/>
          <w:jc w:val="center"/>
        </w:trPr>
        <w:tc>
          <w:tcPr>
            <w:tcW w:w="1615" w:type="dxa"/>
            <w:vAlign w:val="center"/>
          </w:tcPr>
          <w:p w14:paraId="12913142" w14:textId="77777777" w:rsidR="00240684" w:rsidRPr="008313ED" w:rsidRDefault="00240684">
            <w:pPr>
              <w:keepNext/>
              <w:keepLines/>
              <w:suppressAutoHyphens/>
              <w:ind w:left="-30"/>
              <w:jc w:val="center"/>
              <w:rPr>
                <w:rFonts w:asciiTheme="minorHAnsi" w:hAnsiTheme="minorHAnsi"/>
              </w:rPr>
            </w:pPr>
            <w:r w:rsidRPr="008313ED">
              <w:rPr>
                <w:rFonts w:asciiTheme="minorHAnsi" w:hAnsiTheme="minorHAnsi"/>
              </w:rPr>
              <w:t>A</w:t>
            </w:r>
          </w:p>
        </w:tc>
        <w:tc>
          <w:tcPr>
            <w:tcW w:w="2488" w:type="dxa"/>
            <w:vAlign w:val="center"/>
          </w:tcPr>
          <w:p w14:paraId="671B6D24" w14:textId="77777777" w:rsidR="00240684" w:rsidRPr="008313ED" w:rsidRDefault="00240684">
            <w:pPr>
              <w:keepNext/>
              <w:keepLines/>
              <w:suppressAutoHyphens/>
              <w:jc w:val="center"/>
              <w:rPr>
                <w:rFonts w:asciiTheme="minorHAnsi" w:hAnsiTheme="minorHAnsi"/>
              </w:rPr>
            </w:pPr>
            <w:r w:rsidRPr="008313ED">
              <w:rPr>
                <w:rFonts w:asciiTheme="minorHAnsi" w:hAnsiTheme="minorHAnsi"/>
              </w:rPr>
              <w:t>2022</w:t>
            </w:r>
          </w:p>
        </w:tc>
        <w:tc>
          <w:tcPr>
            <w:tcW w:w="2334" w:type="dxa"/>
            <w:vAlign w:val="center"/>
          </w:tcPr>
          <w:p w14:paraId="2236F8D0" w14:textId="77777777" w:rsidR="00240684" w:rsidRPr="008313ED" w:rsidRDefault="00240684">
            <w:pPr>
              <w:keepNext/>
              <w:keepLines/>
              <w:suppressAutoHyphens/>
              <w:ind w:right="345"/>
              <w:jc w:val="center"/>
              <w:rPr>
                <w:rFonts w:asciiTheme="minorHAnsi" w:hAnsiTheme="minorHAnsi"/>
              </w:rPr>
            </w:pPr>
            <w:r w:rsidRPr="008313ED">
              <w:rPr>
                <w:rFonts w:asciiTheme="minorHAnsi" w:hAnsiTheme="minorHAnsi"/>
              </w:rPr>
              <w:t>2022</w:t>
            </w:r>
          </w:p>
        </w:tc>
        <w:tc>
          <w:tcPr>
            <w:tcW w:w="2577" w:type="dxa"/>
            <w:vAlign w:val="center"/>
          </w:tcPr>
          <w:p w14:paraId="31F40B45" w14:textId="77777777" w:rsidR="00240684" w:rsidRPr="008313ED" w:rsidRDefault="00240684">
            <w:pPr>
              <w:keepNext/>
              <w:keepLines/>
              <w:suppressAutoHyphens/>
              <w:ind w:right="286"/>
              <w:jc w:val="center"/>
              <w:rPr>
                <w:rFonts w:asciiTheme="minorHAnsi" w:hAnsiTheme="minorHAnsi"/>
              </w:rPr>
            </w:pPr>
            <w:r w:rsidRPr="008313ED">
              <w:rPr>
                <w:rFonts w:asciiTheme="minorHAnsi" w:hAnsiTheme="minorHAnsi"/>
              </w:rPr>
              <w:t>2026</w:t>
            </w:r>
          </w:p>
        </w:tc>
      </w:tr>
      <w:tr w:rsidR="00240684" w:rsidRPr="008313ED" w14:paraId="57088BE3" w14:textId="77777777" w:rsidTr="00BE4F4B">
        <w:trPr>
          <w:trHeight w:val="362"/>
          <w:jc w:val="center"/>
        </w:trPr>
        <w:tc>
          <w:tcPr>
            <w:tcW w:w="1615" w:type="dxa"/>
            <w:vAlign w:val="center"/>
          </w:tcPr>
          <w:p w14:paraId="7C7D9433" w14:textId="77777777" w:rsidR="00240684" w:rsidRPr="008313ED" w:rsidRDefault="00240684">
            <w:pPr>
              <w:keepNext/>
              <w:keepLines/>
              <w:suppressAutoHyphens/>
              <w:ind w:left="-30"/>
              <w:jc w:val="center"/>
              <w:rPr>
                <w:rFonts w:asciiTheme="minorHAnsi" w:hAnsiTheme="minorHAnsi"/>
              </w:rPr>
            </w:pPr>
            <w:r w:rsidRPr="008313ED">
              <w:rPr>
                <w:rFonts w:asciiTheme="minorHAnsi" w:hAnsiTheme="minorHAnsi"/>
              </w:rPr>
              <w:t>B</w:t>
            </w:r>
          </w:p>
        </w:tc>
        <w:tc>
          <w:tcPr>
            <w:tcW w:w="2488" w:type="dxa"/>
            <w:vAlign w:val="center"/>
          </w:tcPr>
          <w:p w14:paraId="78AB759D" w14:textId="77777777" w:rsidR="00240684" w:rsidRPr="008313ED" w:rsidRDefault="00240684">
            <w:pPr>
              <w:keepNext/>
              <w:keepLines/>
              <w:suppressAutoHyphens/>
              <w:jc w:val="center"/>
              <w:rPr>
                <w:rFonts w:asciiTheme="minorHAnsi" w:hAnsiTheme="minorHAnsi"/>
              </w:rPr>
            </w:pPr>
            <w:r w:rsidRPr="008313ED">
              <w:rPr>
                <w:rFonts w:asciiTheme="minorHAnsi" w:hAnsiTheme="minorHAnsi"/>
              </w:rPr>
              <w:t>2024</w:t>
            </w:r>
          </w:p>
        </w:tc>
        <w:tc>
          <w:tcPr>
            <w:tcW w:w="2334" w:type="dxa"/>
            <w:vAlign w:val="center"/>
          </w:tcPr>
          <w:p w14:paraId="64CC096F" w14:textId="77777777" w:rsidR="00240684" w:rsidRPr="008313ED" w:rsidRDefault="00240684">
            <w:pPr>
              <w:keepNext/>
              <w:keepLines/>
              <w:suppressAutoHyphens/>
              <w:ind w:right="345"/>
              <w:jc w:val="center"/>
              <w:rPr>
                <w:rFonts w:asciiTheme="minorHAnsi" w:hAnsiTheme="minorHAnsi"/>
              </w:rPr>
            </w:pPr>
            <w:r w:rsidRPr="008313ED">
              <w:rPr>
                <w:rFonts w:asciiTheme="minorHAnsi" w:hAnsiTheme="minorHAnsi"/>
              </w:rPr>
              <w:t>2024</w:t>
            </w:r>
          </w:p>
        </w:tc>
        <w:tc>
          <w:tcPr>
            <w:tcW w:w="2577" w:type="dxa"/>
            <w:vAlign w:val="center"/>
          </w:tcPr>
          <w:p w14:paraId="0292DBD7" w14:textId="77777777" w:rsidR="00240684" w:rsidRPr="008313ED" w:rsidRDefault="00240684">
            <w:pPr>
              <w:keepNext/>
              <w:keepLines/>
              <w:suppressAutoHyphens/>
              <w:ind w:right="286"/>
              <w:jc w:val="center"/>
              <w:rPr>
                <w:rFonts w:asciiTheme="minorHAnsi" w:hAnsiTheme="minorHAnsi"/>
              </w:rPr>
            </w:pPr>
            <w:r w:rsidRPr="008313ED">
              <w:rPr>
                <w:rFonts w:asciiTheme="minorHAnsi" w:hAnsiTheme="minorHAnsi"/>
              </w:rPr>
              <w:t>2028</w:t>
            </w:r>
          </w:p>
        </w:tc>
      </w:tr>
    </w:tbl>
    <w:p w14:paraId="7DEB79ED" w14:textId="77777777" w:rsidR="00240684" w:rsidRPr="008313ED" w:rsidRDefault="00240684" w:rsidP="00240684">
      <w:pPr>
        <w:rPr>
          <w:rFonts w:asciiTheme="minorHAnsi" w:hAnsiTheme="minorHAnsi"/>
        </w:rPr>
      </w:pPr>
    </w:p>
    <w:p w14:paraId="4DB1709C" w14:textId="76F51E55" w:rsidR="00240684" w:rsidRPr="008313ED" w:rsidRDefault="6A79A0BF" w:rsidP="008969FF">
      <w:pPr>
        <w:pStyle w:val="Heading3"/>
        <w:rPr>
          <w:rFonts w:asciiTheme="minorHAnsi" w:hAnsiTheme="minorHAnsi"/>
        </w:rPr>
      </w:pPr>
      <w:bookmarkStart w:id="40" w:name="_Toc187305873"/>
      <w:r w:rsidRPr="008313ED">
        <w:rPr>
          <w:rFonts w:asciiTheme="minorHAnsi" w:hAnsiTheme="minorHAnsi"/>
        </w:rPr>
        <w:t>How many chemicals were added to Appendix A in the 2020 EICG amendments?</w:t>
      </w:r>
      <w:bookmarkEnd w:id="40"/>
      <w:r w:rsidRPr="008313ED">
        <w:rPr>
          <w:rFonts w:asciiTheme="minorHAnsi" w:hAnsiTheme="minorHAnsi"/>
        </w:rPr>
        <w:t xml:space="preserve"> </w:t>
      </w:r>
    </w:p>
    <w:p w14:paraId="664887E2" w14:textId="1AA2E482" w:rsidR="00240684" w:rsidRPr="008313ED" w:rsidRDefault="00240684" w:rsidP="00B2468C">
      <w:pPr>
        <w:rPr>
          <w:rFonts w:asciiTheme="minorHAnsi" w:hAnsiTheme="minorHAnsi"/>
          <w:shd w:val="clear" w:color="auto" w:fill="FFFFFF"/>
        </w:rPr>
      </w:pPr>
      <w:r w:rsidRPr="008313ED">
        <w:rPr>
          <w:rFonts w:asciiTheme="minorHAnsi" w:hAnsiTheme="minorHAnsi"/>
          <w:shd w:val="clear" w:color="auto" w:fill="FFFFFF"/>
        </w:rPr>
        <w:t xml:space="preserve">The </w:t>
      </w:r>
      <w:proofErr w:type="gramStart"/>
      <w:r w:rsidRPr="008313ED">
        <w:rPr>
          <w:rFonts w:asciiTheme="minorHAnsi" w:hAnsiTheme="minorHAnsi"/>
          <w:shd w:val="clear" w:color="auto" w:fill="FFFFFF"/>
        </w:rPr>
        <w:t>EICG Appendix</w:t>
      </w:r>
      <w:proofErr w:type="gramEnd"/>
      <w:r w:rsidRPr="008313ED">
        <w:rPr>
          <w:rFonts w:asciiTheme="minorHAnsi" w:hAnsiTheme="minorHAnsi"/>
          <w:shd w:val="clear" w:color="auto" w:fill="FFFFFF"/>
        </w:rPr>
        <w:t xml:space="preserve"> A chemical list now includes 1,925 chemicals. Appendix A-I includes 1,457 chemicals (including 3 </w:t>
      </w:r>
      <w:r w:rsidR="77A51A56" w:rsidRPr="008313ED">
        <w:rPr>
          <w:rFonts w:asciiTheme="minorHAnsi" w:hAnsiTheme="minorHAnsi"/>
          <w:shd w:val="clear" w:color="auto" w:fill="FFFFFF"/>
        </w:rPr>
        <w:t xml:space="preserve">broad </w:t>
      </w:r>
      <w:r w:rsidRPr="008313ED">
        <w:rPr>
          <w:rFonts w:asciiTheme="minorHAnsi" w:hAnsiTheme="minorHAnsi"/>
          <w:shd w:val="clear" w:color="auto" w:fill="FFFFFF"/>
        </w:rPr>
        <w:t xml:space="preserve">functional groups), A-II </w:t>
      </w:r>
      <w:r w:rsidR="00D1304C" w:rsidRPr="008313ED">
        <w:rPr>
          <w:rFonts w:asciiTheme="minorHAnsi" w:hAnsiTheme="minorHAnsi"/>
          <w:shd w:val="clear" w:color="auto" w:fill="FFFFFF"/>
        </w:rPr>
        <w:t xml:space="preserve">includes 184 </w:t>
      </w:r>
      <w:r w:rsidRPr="008313ED">
        <w:rPr>
          <w:rFonts w:asciiTheme="minorHAnsi" w:hAnsiTheme="minorHAnsi"/>
          <w:shd w:val="clear" w:color="auto" w:fill="FFFFFF"/>
        </w:rPr>
        <w:t>and A-III include</w:t>
      </w:r>
      <w:r w:rsidR="00872005" w:rsidRPr="008313ED">
        <w:rPr>
          <w:rFonts w:asciiTheme="minorHAnsi" w:hAnsiTheme="minorHAnsi"/>
          <w:shd w:val="clear" w:color="auto" w:fill="FFFFFF"/>
        </w:rPr>
        <w:t>s 284</w:t>
      </w:r>
      <w:r w:rsidRPr="008313ED">
        <w:rPr>
          <w:rFonts w:asciiTheme="minorHAnsi" w:hAnsiTheme="minorHAnsi"/>
          <w:shd w:val="clear" w:color="auto" w:fill="FFFFFF"/>
        </w:rPr>
        <w:t xml:space="preserve">. During the 2020 EICG amendment process, 994 chemicals were added to A-I, 13 to A-II and 162 to A-III. </w:t>
      </w:r>
      <w:r w:rsidR="2B97ECC5" w:rsidRPr="008313ED">
        <w:rPr>
          <w:rFonts w:asciiTheme="minorHAnsi" w:hAnsiTheme="minorHAnsi"/>
          <w:shd w:val="clear" w:color="auto" w:fill="FFFFFF"/>
        </w:rPr>
        <w:t xml:space="preserve">(In a few cases, a chemical was moved from A-II to </w:t>
      </w:r>
      <w:r w:rsidR="00872005" w:rsidRPr="008313ED">
        <w:rPr>
          <w:rFonts w:asciiTheme="minorHAnsi" w:hAnsiTheme="minorHAnsi"/>
          <w:shd w:val="clear" w:color="auto" w:fill="FFFFFF"/>
        </w:rPr>
        <w:t>A</w:t>
      </w:r>
      <w:r w:rsidR="2B97ECC5" w:rsidRPr="008313ED">
        <w:rPr>
          <w:rFonts w:asciiTheme="minorHAnsi" w:hAnsiTheme="minorHAnsi"/>
          <w:shd w:val="clear" w:color="auto" w:fill="FFFFFF"/>
        </w:rPr>
        <w:t xml:space="preserve">-I). </w:t>
      </w:r>
      <w:r w:rsidR="102EF77A" w:rsidRPr="008313ED">
        <w:rPr>
          <w:rFonts w:asciiTheme="minorHAnsi" w:hAnsiTheme="minorHAnsi"/>
          <w:shd w:val="clear" w:color="auto" w:fill="FFFFFF"/>
        </w:rPr>
        <w:t>It</w:t>
      </w:r>
      <w:r w:rsidRPr="008313ED">
        <w:rPr>
          <w:rFonts w:asciiTheme="minorHAnsi" w:hAnsiTheme="minorHAnsi"/>
          <w:shd w:val="clear" w:color="auto" w:fill="FFFFFF"/>
        </w:rPr>
        <w:t xml:space="preserve"> is important to note that some chemicals were listed in an individual alphabetical location with the phrase “(see…)”, this indicates that the main listing is under a broader group of chemicals as well as the alphabetical location. Additionally, in a few cases, staff found more than one CAS number for essentially the same chemical, those use the notation “(alt. CAS, see CAS…)”. This is important to note because duplicates must be removed to get a unique count of the chemicals as calculated above. Further, there are 194 chemicals in ChemSet-1 (including 2 functional groups) and 765 ChemSet-2 chemicals.</w:t>
      </w:r>
    </w:p>
    <w:p w14:paraId="68C74468" w14:textId="77777777" w:rsidR="00A9000B" w:rsidRPr="008313ED" w:rsidRDefault="3F1AC80F" w:rsidP="352303B0">
      <w:pPr>
        <w:pStyle w:val="Heading3"/>
        <w:rPr>
          <w:rFonts w:asciiTheme="minorHAnsi" w:eastAsia="Arial" w:hAnsiTheme="minorHAnsi"/>
          <w:color w:val="auto"/>
        </w:rPr>
      </w:pPr>
      <w:bookmarkStart w:id="41" w:name="_Ref151095744"/>
      <w:bookmarkStart w:id="42" w:name="_Toc187305874"/>
      <w:r w:rsidRPr="008313ED">
        <w:rPr>
          <w:rFonts w:asciiTheme="minorHAnsi" w:hAnsiTheme="minorHAnsi"/>
        </w:rPr>
        <w:t>Why is reporting of emissions required for all chemicals even if they don't currently have an OEHHA health value?</w:t>
      </w:r>
      <w:bookmarkEnd w:id="41"/>
      <w:bookmarkEnd w:id="42"/>
    </w:p>
    <w:p w14:paraId="374BA498" w14:textId="79DB6D05" w:rsidR="00240684" w:rsidRPr="008313ED" w:rsidRDefault="6417CE08" w:rsidP="00A9000B">
      <w:pPr>
        <w:rPr>
          <w:rFonts w:asciiTheme="minorHAnsi" w:hAnsiTheme="minorHAnsi"/>
        </w:rPr>
      </w:pPr>
      <w:r w:rsidRPr="008313ED">
        <w:rPr>
          <w:rFonts w:asciiTheme="minorHAnsi" w:hAnsiTheme="minorHAnsi"/>
        </w:rPr>
        <w:t>It is important to include reporting of emissions of substances even if they do not yet have a formal health value to understand the types, distribution, and extent of sources</w:t>
      </w:r>
      <w:r w:rsidR="628A585E" w:rsidRPr="008313ED">
        <w:rPr>
          <w:rFonts w:asciiTheme="minorHAnsi" w:hAnsiTheme="minorHAnsi"/>
        </w:rPr>
        <w:t xml:space="preserve"> that are known to have </w:t>
      </w:r>
      <w:r w:rsidR="2437E46D" w:rsidRPr="008313ED">
        <w:rPr>
          <w:rFonts w:asciiTheme="minorHAnsi" w:hAnsiTheme="minorHAnsi"/>
        </w:rPr>
        <w:t xml:space="preserve">public </w:t>
      </w:r>
      <w:r w:rsidR="628A585E" w:rsidRPr="008313ED">
        <w:rPr>
          <w:rFonts w:asciiTheme="minorHAnsi" w:hAnsiTheme="minorHAnsi"/>
        </w:rPr>
        <w:t xml:space="preserve">health </w:t>
      </w:r>
      <w:r w:rsidR="702D855F" w:rsidRPr="008313ED">
        <w:rPr>
          <w:rFonts w:asciiTheme="minorHAnsi" w:hAnsiTheme="minorHAnsi"/>
        </w:rPr>
        <w:t xml:space="preserve">impacts. </w:t>
      </w:r>
      <w:r w:rsidR="2E0EDC33" w:rsidRPr="008313ED">
        <w:rPr>
          <w:rFonts w:asciiTheme="minorHAnsi" w:hAnsiTheme="minorHAnsi"/>
        </w:rPr>
        <w:t xml:space="preserve">In addition, </w:t>
      </w:r>
      <w:r w:rsidR="0B2AC9AB" w:rsidRPr="008313ED">
        <w:rPr>
          <w:rFonts w:asciiTheme="minorHAnsi" w:hAnsiTheme="minorHAnsi"/>
        </w:rPr>
        <w:t xml:space="preserve">it </w:t>
      </w:r>
      <w:r w:rsidR="4ECC5ADE" w:rsidRPr="008313ED">
        <w:rPr>
          <w:rFonts w:asciiTheme="minorHAnsi" w:hAnsiTheme="minorHAnsi"/>
        </w:rPr>
        <w:t xml:space="preserve">assists in identifying </w:t>
      </w:r>
      <w:r w:rsidRPr="008313ED">
        <w:rPr>
          <w:rFonts w:asciiTheme="minorHAnsi" w:hAnsiTheme="minorHAnsi"/>
        </w:rPr>
        <w:t>priorities for formal health value development</w:t>
      </w:r>
      <w:r w:rsidR="4ECC5ADE" w:rsidRPr="008313ED">
        <w:rPr>
          <w:rFonts w:asciiTheme="minorHAnsi" w:hAnsiTheme="minorHAnsi"/>
        </w:rPr>
        <w:t xml:space="preserve">, </w:t>
      </w:r>
      <w:r w:rsidR="43FB95A0" w:rsidRPr="008313ED">
        <w:rPr>
          <w:rFonts w:asciiTheme="minorHAnsi" w:hAnsiTheme="minorHAnsi"/>
        </w:rPr>
        <w:t>as well as priorities for improvement of emission quantification methods if they are needed</w:t>
      </w:r>
      <w:r w:rsidRPr="008313ED">
        <w:rPr>
          <w:rFonts w:asciiTheme="minorHAnsi" w:hAnsiTheme="minorHAnsi"/>
        </w:rPr>
        <w:t xml:space="preserve">. </w:t>
      </w:r>
      <w:r w:rsidR="0C99DEDD" w:rsidRPr="008313ED">
        <w:rPr>
          <w:rFonts w:asciiTheme="minorHAnsi" w:hAnsiTheme="minorHAnsi"/>
        </w:rPr>
        <w:t>Section II.H(5) of the EICG</w:t>
      </w:r>
      <w:r w:rsidR="0C99DEDD" w:rsidRPr="008313ED" w:rsidDel="00C01450">
        <w:rPr>
          <w:rFonts w:asciiTheme="minorHAnsi" w:hAnsiTheme="minorHAnsi"/>
        </w:rPr>
        <w:t xml:space="preserve"> </w:t>
      </w:r>
      <w:r w:rsidR="00C01450" w:rsidRPr="008313ED">
        <w:rPr>
          <w:rFonts w:asciiTheme="minorHAnsi" w:hAnsiTheme="minorHAnsi"/>
        </w:rPr>
        <w:t xml:space="preserve">Regulation </w:t>
      </w:r>
      <w:r w:rsidR="0C99DEDD" w:rsidRPr="008313ED">
        <w:rPr>
          <w:rFonts w:asciiTheme="minorHAnsi" w:hAnsiTheme="minorHAnsi"/>
        </w:rPr>
        <w:t xml:space="preserve">allows facility operators </w:t>
      </w:r>
      <w:r w:rsidR="63616157" w:rsidRPr="008313ED">
        <w:rPr>
          <w:rFonts w:asciiTheme="minorHAnsi" w:hAnsiTheme="minorHAnsi"/>
        </w:rPr>
        <w:t>to report only the amounts present, used or p</w:t>
      </w:r>
      <w:r w:rsidR="7A7151C5" w:rsidRPr="008313ED">
        <w:rPr>
          <w:rFonts w:asciiTheme="minorHAnsi" w:hAnsiTheme="minorHAnsi"/>
        </w:rPr>
        <w:t>rod</w:t>
      </w:r>
      <w:r w:rsidR="63616157" w:rsidRPr="008313ED">
        <w:rPr>
          <w:rFonts w:asciiTheme="minorHAnsi" w:hAnsiTheme="minorHAnsi"/>
        </w:rPr>
        <w:t>u</w:t>
      </w:r>
      <w:r w:rsidR="7A7151C5" w:rsidRPr="008313ED">
        <w:rPr>
          <w:rFonts w:asciiTheme="minorHAnsi" w:hAnsiTheme="minorHAnsi"/>
        </w:rPr>
        <w:t>c</w:t>
      </w:r>
      <w:r w:rsidR="63616157" w:rsidRPr="008313ED">
        <w:rPr>
          <w:rFonts w:asciiTheme="minorHAnsi" w:hAnsiTheme="minorHAnsi"/>
        </w:rPr>
        <w:t xml:space="preserve">ed when no emission </w:t>
      </w:r>
      <w:r w:rsidR="7A7151C5" w:rsidRPr="008313ED">
        <w:rPr>
          <w:rFonts w:asciiTheme="minorHAnsi" w:hAnsiTheme="minorHAnsi"/>
        </w:rPr>
        <w:t>quantification</w:t>
      </w:r>
      <w:r w:rsidR="63616157" w:rsidRPr="008313ED">
        <w:rPr>
          <w:rFonts w:asciiTheme="minorHAnsi" w:hAnsiTheme="minorHAnsi"/>
        </w:rPr>
        <w:t xml:space="preserve"> method exists for a </w:t>
      </w:r>
      <w:r w:rsidR="5C6271D8" w:rsidRPr="008313ED">
        <w:rPr>
          <w:rFonts w:asciiTheme="minorHAnsi" w:hAnsiTheme="minorHAnsi"/>
        </w:rPr>
        <w:t>substance</w:t>
      </w:r>
      <w:r w:rsidR="63616157" w:rsidRPr="008313ED">
        <w:rPr>
          <w:rFonts w:asciiTheme="minorHAnsi" w:hAnsiTheme="minorHAnsi"/>
        </w:rPr>
        <w:t xml:space="preserve"> at the time of its scheduled phase-in. This is a necessary first step in understanding the potential for public health impacts from </w:t>
      </w:r>
      <w:r w:rsidR="7D4D36A9" w:rsidRPr="008313ED">
        <w:rPr>
          <w:rFonts w:asciiTheme="minorHAnsi" w:hAnsiTheme="minorHAnsi"/>
        </w:rPr>
        <w:t xml:space="preserve">a </w:t>
      </w:r>
      <w:r w:rsidR="63616157" w:rsidRPr="008313ED">
        <w:rPr>
          <w:rFonts w:asciiTheme="minorHAnsi" w:hAnsiTheme="minorHAnsi"/>
        </w:rPr>
        <w:t xml:space="preserve">particular facility or a particular chemical. </w:t>
      </w:r>
      <w:r w:rsidR="752D7AB5" w:rsidRPr="008313ED">
        <w:rPr>
          <w:rFonts w:asciiTheme="minorHAnsi" w:hAnsiTheme="minorHAnsi"/>
        </w:rPr>
        <w:t>Understanding</w:t>
      </w:r>
      <w:r w:rsidR="63616157" w:rsidRPr="008313ED">
        <w:rPr>
          <w:rFonts w:asciiTheme="minorHAnsi" w:hAnsiTheme="minorHAnsi"/>
        </w:rPr>
        <w:t xml:space="preserve"> the nature and extent of emissions is one of the </w:t>
      </w:r>
      <w:r w:rsidR="2F3782A1" w:rsidRPr="008313ED">
        <w:rPr>
          <w:rFonts w:asciiTheme="minorHAnsi" w:hAnsiTheme="minorHAnsi"/>
        </w:rPr>
        <w:t>necessary items</w:t>
      </w:r>
      <w:r w:rsidR="63616157" w:rsidRPr="008313ED">
        <w:rPr>
          <w:rFonts w:asciiTheme="minorHAnsi" w:hAnsiTheme="minorHAnsi"/>
        </w:rPr>
        <w:t xml:space="preserve"> that helps OEHHA </w:t>
      </w:r>
      <w:r w:rsidR="45F98AEB" w:rsidRPr="008313ED">
        <w:rPr>
          <w:rFonts w:asciiTheme="minorHAnsi" w:hAnsiTheme="minorHAnsi"/>
        </w:rPr>
        <w:t>establish</w:t>
      </w:r>
      <w:r w:rsidR="63616157" w:rsidRPr="008313ED">
        <w:rPr>
          <w:rFonts w:asciiTheme="minorHAnsi" w:hAnsiTheme="minorHAnsi"/>
        </w:rPr>
        <w:t xml:space="preserve"> priorities for development of health values.</w:t>
      </w:r>
      <w:r w:rsidR="4EBBCC9D" w:rsidRPr="008313ED">
        <w:rPr>
          <w:rFonts w:asciiTheme="minorHAnsi" w:hAnsiTheme="minorHAnsi"/>
        </w:rPr>
        <w:t xml:space="preserve"> </w:t>
      </w:r>
    </w:p>
    <w:p w14:paraId="0791D47A" w14:textId="25E3A99B" w:rsidR="00240684" w:rsidRPr="008313ED" w:rsidRDefault="46CD4142" w:rsidP="00A9000B">
      <w:pPr>
        <w:rPr>
          <w:rFonts w:asciiTheme="minorHAnsi" w:hAnsiTheme="minorHAnsi"/>
        </w:rPr>
      </w:pPr>
      <w:r w:rsidRPr="008313ED">
        <w:rPr>
          <w:rFonts w:asciiTheme="minorHAnsi" w:hAnsiTheme="minorHAnsi"/>
        </w:rPr>
        <w:t>Reporting of the listed chemicals is</w:t>
      </w:r>
      <w:r w:rsidR="7B21D19C" w:rsidRPr="008313ED">
        <w:rPr>
          <w:rFonts w:asciiTheme="minorHAnsi" w:hAnsiTheme="minorHAnsi"/>
        </w:rPr>
        <w:t xml:space="preserve"> also</w:t>
      </w:r>
      <w:r w:rsidRPr="008313ED">
        <w:rPr>
          <w:rFonts w:asciiTheme="minorHAnsi" w:hAnsiTheme="minorHAnsi"/>
        </w:rPr>
        <w:t xml:space="preserve"> crucial to characterizing many emerging chemical hazards and it enhances the public right-to-know intent of t</w:t>
      </w:r>
      <w:r w:rsidR="05350679" w:rsidRPr="008313ED">
        <w:rPr>
          <w:rFonts w:asciiTheme="minorHAnsi" w:hAnsiTheme="minorHAnsi"/>
        </w:rPr>
        <w:t xml:space="preserve">he </w:t>
      </w:r>
      <w:r w:rsidR="00BB4EB6" w:rsidRPr="008313ED">
        <w:rPr>
          <w:rFonts w:asciiTheme="minorHAnsi" w:hAnsiTheme="minorHAnsi"/>
        </w:rPr>
        <w:t>Hot Spots</w:t>
      </w:r>
      <w:r w:rsidR="05350679" w:rsidRPr="008313ED">
        <w:rPr>
          <w:rFonts w:asciiTheme="minorHAnsi" w:hAnsiTheme="minorHAnsi"/>
        </w:rPr>
        <w:t xml:space="preserve"> program. It ensure</w:t>
      </w:r>
      <w:r w:rsidR="34959E79" w:rsidRPr="008313ED">
        <w:rPr>
          <w:rFonts w:asciiTheme="minorHAnsi" w:hAnsiTheme="minorHAnsi"/>
        </w:rPr>
        <w:t>s</w:t>
      </w:r>
      <w:r w:rsidR="05350679" w:rsidRPr="008313ED">
        <w:rPr>
          <w:rFonts w:asciiTheme="minorHAnsi" w:hAnsiTheme="minorHAnsi"/>
        </w:rPr>
        <w:t xml:space="preserve"> that facilities consider all toxic emissions when evaluating the nature of operations and potential for public health impacts, as well as the</w:t>
      </w:r>
      <w:r w:rsidR="004717D6" w:rsidRPr="008313ED">
        <w:rPr>
          <w:rFonts w:asciiTheme="minorHAnsi" w:hAnsiTheme="minorHAnsi"/>
        </w:rPr>
        <w:t xml:space="preserve"> </w:t>
      </w:r>
      <w:r w:rsidR="05350679" w:rsidRPr="008313ED">
        <w:rPr>
          <w:rFonts w:asciiTheme="minorHAnsi" w:hAnsiTheme="minorHAnsi"/>
        </w:rPr>
        <w:t>full range of potential options to ma</w:t>
      </w:r>
      <w:r w:rsidR="0D4B139F" w:rsidRPr="008313ED">
        <w:rPr>
          <w:rFonts w:asciiTheme="minorHAnsi" w:hAnsiTheme="minorHAnsi"/>
        </w:rPr>
        <w:t xml:space="preserve">ke less toxic process and chemical choices. All the chemicals included in the EICG Appendix A list are there </w:t>
      </w:r>
      <w:r w:rsidR="00DC1BA2" w:rsidRPr="008313ED">
        <w:rPr>
          <w:rFonts w:asciiTheme="minorHAnsi" w:hAnsiTheme="minorHAnsi"/>
        </w:rPr>
        <w:t xml:space="preserve">due to identification </w:t>
      </w:r>
      <w:r w:rsidR="0D4B139F" w:rsidRPr="008313ED">
        <w:rPr>
          <w:rFonts w:asciiTheme="minorHAnsi" w:hAnsiTheme="minorHAnsi"/>
        </w:rPr>
        <w:t xml:space="preserve">of information </w:t>
      </w:r>
      <w:r w:rsidR="00DC1BA2" w:rsidRPr="008313ED">
        <w:rPr>
          <w:rFonts w:asciiTheme="minorHAnsi" w:hAnsiTheme="minorHAnsi"/>
        </w:rPr>
        <w:t xml:space="preserve">noting </w:t>
      </w:r>
      <w:r w:rsidR="0D4B139F" w:rsidRPr="008313ED">
        <w:rPr>
          <w:rFonts w:asciiTheme="minorHAnsi" w:hAnsiTheme="minorHAnsi"/>
        </w:rPr>
        <w:t>the potential for adverse health effects</w:t>
      </w:r>
      <w:r w:rsidR="005A191E" w:rsidRPr="008313ED">
        <w:rPr>
          <w:rFonts w:asciiTheme="minorHAnsi" w:hAnsiTheme="minorHAnsi"/>
        </w:rPr>
        <w:t xml:space="preserve">, </w:t>
      </w:r>
      <w:proofErr w:type="gramStart"/>
      <w:r w:rsidR="0D4B139F" w:rsidRPr="008313ED">
        <w:rPr>
          <w:rFonts w:asciiTheme="minorHAnsi" w:hAnsiTheme="minorHAnsi"/>
        </w:rPr>
        <w:t>whether o</w:t>
      </w:r>
      <w:r w:rsidR="0932DFCD" w:rsidRPr="008313ED">
        <w:rPr>
          <w:rFonts w:asciiTheme="minorHAnsi" w:hAnsiTheme="minorHAnsi"/>
        </w:rPr>
        <w:t>r not</w:t>
      </w:r>
      <w:proofErr w:type="gramEnd"/>
      <w:r w:rsidR="0932DFCD" w:rsidRPr="008313ED">
        <w:rPr>
          <w:rFonts w:asciiTheme="minorHAnsi" w:hAnsiTheme="minorHAnsi"/>
        </w:rPr>
        <w:t xml:space="preserve"> an exact dose-response value has yet been formally adopted. </w:t>
      </w:r>
    </w:p>
    <w:p w14:paraId="00910AF7" w14:textId="61663F46" w:rsidR="00240684" w:rsidRPr="008313ED" w:rsidRDefault="6A79A0BF" w:rsidP="00B2468C">
      <w:pPr>
        <w:pStyle w:val="Heading3"/>
        <w:rPr>
          <w:rFonts w:asciiTheme="minorHAnsi" w:hAnsiTheme="minorHAnsi"/>
        </w:rPr>
      </w:pPr>
      <w:bookmarkStart w:id="43" w:name="_Toc187305875"/>
      <w:r w:rsidRPr="008313ED">
        <w:rPr>
          <w:rFonts w:asciiTheme="minorHAnsi" w:hAnsiTheme="minorHAnsi"/>
        </w:rPr>
        <w:t>What was considered in assigning the first phase chemicals (ChemSet-1</w:t>
      </w:r>
      <w:r w:rsidR="21754D4B" w:rsidRPr="008313ED">
        <w:rPr>
          <w:rFonts w:asciiTheme="minorHAnsi" w:hAnsiTheme="minorHAnsi"/>
        </w:rPr>
        <w:t>)</w:t>
      </w:r>
      <w:r w:rsidR="4C4EB2F0" w:rsidRPr="008313ED">
        <w:rPr>
          <w:rFonts w:asciiTheme="minorHAnsi" w:hAnsiTheme="minorHAnsi"/>
        </w:rPr>
        <w:t>?</w:t>
      </w:r>
      <w:bookmarkEnd w:id="43"/>
    </w:p>
    <w:p w14:paraId="775DF56C" w14:textId="77777777" w:rsidR="00254D35" w:rsidRPr="008313ED" w:rsidRDefault="00715A1F" w:rsidP="00254D35">
      <w:pPr>
        <w:rPr>
          <w:rFonts w:asciiTheme="minorHAnsi" w:hAnsiTheme="minorHAnsi"/>
        </w:rPr>
      </w:pPr>
      <w:r w:rsidRPr="008313ED">
        <w:rPr>
          <w:rFonts w:asciiTheme="minorHAnsi" w:hAnsiTheme="minorHAnsi"/>
        </w:rPr>
        <w:t xml:space="preserve">The intent of </w:t>
      </w:r>
      <w:r w:rsidR="004C6CDE" w:rsidRPr="008313ED">
        <w:rPr>
          <w:rFonts w:asciiTheme="minorHAnsi" w:hAnsiTheme="minorHAnsi"/>
        </w:rPr>
        <w:t xml:space="preserve">ChemSet-1 was to focus the first phase of reporting on the highest priority chemicals that should </w:t>
      </w:r>
      <w:r w:rsidR="00EA4A60" w:rsidRPr="008313ED">
        <w:rPr>
          <w:rFonts w:asciiTheme="minorHAnsi" w:hAnsiTheme="minorHAnsi"/>
        </w:rPr>
        <w:t xml:space="preserve">be quantified. </w:t>
      </w:r>
      <w:r w:rsidR="00240684" w:rsidRPr="008313ED">
        <w:rPr>
          <w:rFonts w:asciiTheme="minorHAnsi" w:hAnsiTheme="minorHAnsi"/>
        </w:rPr>
        <w:t xml:space="preserve">The 194 chemicals which are denoted as ChemSet-1 chemicals are high priority for their potential for public health impacts. </w:t>
      </w:r>
      <w:r w:rsidR="00254D35" w:rsidRPr="008313ED">
        <w:rPr>
          <w:rFonts w:asciiTheme="minorHAnsi" w:hAnsiTheme="minorHAnsi"/>
        </w:rPr>
        <w:t xml:space="preserve">Prioritizing the reporting of these chemicals in the first phase under ChemSet-1 is imperative for protecting public health not </w:t>
      </w:r>
      <w:proofErr w:type="gramStart"/>
      <w:r w:rsidR="00254D35" w:rsidRPr="008313ED">
        <w:rPr>
          <w:rFonts w:asciiTheme="minorHAnsi" w:hAnsiTheme="minorHAnsi"/>
        </w:rPr>
        <w:t>only to begin</w:t>
      </w:r>
      <w:proofErr w:type="gramEnd"/>
      <w:r w:rsidR="00254D35" w:rsidRPr="008313ED">
        <w:rPr>
          <w:rFonts w:asciiTheme="minorHAnsi" w:hAnsiTheme="minorHAnsi"/>
        </w:rPr>
        <w:t xml:space="preserve"> to collect data on where and how much their usage is occurring, but also to provide a clear direction to industries that there are toxicity issues that must be evaluated and recognized. </w:t>
      </w:r>
    </w:p>
    <w:p w14:paraId="181F1188" w14:textId="378D7C8F" w:rsidR="001059BD" w:rsidRPr="008313ED" w:rsidRDefault="00240684" w:rsidP="001059BD">
      <w:pPr>
        <w:rPr>
          <w:rFonts w:asciiTheme="minorHAnsi" w:hAnsiTheme="minorHAnsi"/>
        </w:rPr>
      </w:pPr>
      <w:r w:rsidRPr="008313ED">
        <w:rPr>
          <w:rFonts w:asciiTheme="minorHAnsi" w:hAnsiTheme="minorHAnsi"/>
        </w:rPr>
        <w:t xml:space="preserve">The ChemSet-1 chemicals </w:t>
      </w:r>
      <w:r w:rsidR="002A73CA" w:rsidRPr="008313ED">
        <w:rPr>
          <w:rFonts w:asciiTheme="minorHAnsi" w:hAnsiTheme="minorHAnsi"/>
        </w:rPr>
        <w:t xml:space="preserve">were selected </w:t>
      </w:r>
      <w:r w:rsidR="00D6534C" w:rsidRPr="008313ED">
        <w:rPr>
          <w:rFonts w:asciiTheme="minorHAnsi" w:hAnsiTheme="minorHAnsi"/>
        </w:rPr>
        <w:t xml:space="preserve">based on </w:t>
      </w:r>
      <w:r w:rsidR="00273887" w:rsidRPr="008313ED">
        <w:rPr>
          <w:rFonts w:asciiTheme="minorHAnsi" w:hAnsiTheme="minorHAnsi"/>
        </w:rPr>
        <w:t>several</w:t>
      </w:r>
      <w:r w:rsidR="00D6534C" w:rsidRPr="008313ED">
        <w:rPr>
          <w:rFonts w:asciiTheme="minorHAnsi" w:hAnsiTheme="minorHAnsi"/>
        </w:rPr>
        <w:t xml:space="preserve"> considerations. </w:t>
      </w:r>
      <w:r w:rsidR="001059BD" w:rsidRPr="008313ED">
        <w:rPr>
          <w:rFonts w:asciiTheme="minorHAnsi" w:hAnsiTheme="minorHAnsi"/>
        </w:rPr>
        <w:t>Some of the key considerations for assigning groups of chemicals to “ChemSet-1” include:</w:t>
      </w:r>
    </w:p>
    <w:p w14:paraId="6DFFAA58" w14:textId="0D604227" w:rsidR="006F1D56" w:rsidRPr="008313ED" w:rsidRDefault="001059BD" w:rsidP="006F1D56">
      <w:pPr>
        <w:pStyle w:val="ListParagraph"/>
        <w:widowControl w:val="0"/>
        <w:numPr>
          <w:ilvl w:val="0"/>
          <w:numId w:val="39"/>
        </w:numPr>
        <w:autoSpaceDE w:val="0"/>
        <w:autoSpaceDN w:val="0"/>
        <w:spacing w:before="0" w:after="0"/>
        <w:rPr>
          <w:rFonts w:asciiTheme="minorHAnsi" w:hAnsiTheme="minorHAnsi"/>
        </w:rPr>
      </w:pPr>
      <w:r w:rsidRPr="008313ED">
        <w:rPr>
          <w:rFonts w:asciiTheme="minorHAnsi" w:hAnsiTheme="minorHAnsi"/>
        </w:rPr>
        <w:t xml:space="preserve">Chemicals </w:t>
      </w:r>
      <w:r w:rsidR="00600960" w:rsidRPr="008313ED">
        <w:rPr>
          <w:rFonts w:asciiTheme="minorHAnsi" w:hAnsiTheme="minorHAnsi"/>
        </w:rPr>
        <w:t xml:space="preserve">with available health data, particularly </w:t>
      </w:r>
      <w:r w:rsidRPr="008313ED">
        <w:rPr>
          <w:rFonts w:asciiTheme="minorHAnsi" w:hAnsiTheme="minorHAnsi"/>
        </w:rPr>
        <w:t>OEHHA health values</w:t>
      </w:r>
      <w:r w:rsidR="0001017E" w:rsidRPr="008313ED">
        <w:rPr>
          <w:rFonts w:asciiTheme="minorHAnsi" w:hAnsiTheme="minorHAnsi"/>
        </w:rPr>
        <w:t>.</w:t>
      </w:r>
    </w:p>
    <w:p w14:paraId="6243793E" w14:textId="3C885E31" w:rsidR="006F1D56" w:rsidRPr="008313ED" w:rsidRDefault="60BB47D4" w:rsidP="13454CB1">
      <w:pPr>
        <w:pStyle w:val="ListParagraph"/>
        <w:widowControl w:val="0"/>
        <w:numPr>
          <w:ilvl w:val="0"/>
          <w:numId w:val="39"/>
        </w:numPr>
        <w:autoSpaceDE w:val="0"/>
        <w:autoSpaceDN w:val="0"/>
        <w:spacing w:before="0" w:after="0"/>
        <w:rPr>
          <w:rFonts w:asciiTheme="minorHAnsi" w:hAnsiTheme="minorHAnsi"/>
        </w:rPr>
      </w:pPr>
      <w:r w:rsidRPr="008313ED">
        <w:rPr>
          <w:rFonts w:asciiTheme="minorHAnsi" w:hAnsiTheme="minorHAnsi"/>
        </w:rPr>
        <w:t xml:space="preserve">Chemicals that are known carcinogens </w:t>
      </w:r>
      <w:r w:rsidR="0533CFFA" w:rsidRPr="008313ED">
        <w:rPr>
          <w:rFonts w:asciiTheme="minorHAnsi" w:hAnsiTheme="minorHAnsi"/>
        </w:rPr>
        <w:t xml:space="preserve">(e.g., </w:t>
      </w:r>
      <w:r w:rsidRPr="008313ED">
        <w:rPr>
          <w:rFonts w:asciiTheme="minorHAnsi" w:hAnsiTheme="minorHAnsi"/>
        </w:rPr>
        <w:t>IARC and Proposition 65</w:t>
      </w:r>
      <w:r w:rsidR="0533CFFA" w:rsidRPr="008313ED">
        <w:rPr>
          <w:rFonts w:asciiTheme="minorHAnsi" w:hAnsiTheme="minorHAnsi"/>
        </w:rPr>
        <w:t>).</w:t>
      </w:r>
      <w:r w:rsidRPr="008313ED">
        <w:rPr>
          <w:rFonts w:asciiTheme="minorHAnsi" w:hAnsiTheme="minorHAnsi"/>
        </w:rPr>
        <w:t xml:space="preserve"> </w:t>
      </w:r>
      <w:r w:rsidR="006F1D56" w:rsidRPr="008313ED">
        <w:rPr>
          <w:rStyle w:val="FootnoteReference"/>
          <w:rFonts w:asciiTheme="minorHAnsi" w:hAnsiTheme="minorHAnsi"/>
        </w:rPr>
        <w:footnoteReference w:id="5"/>
      </w:r>
      <w:r w:rsidRPr="008313ED">
        <w:rPr>
          <w:rFonts w:asciiTheme="minorHAnsi" w:hAnsiTheme="minorHAnsi"/>
        </w:rPr>
        <w:t xml:space="preserve"> </w:t>
      </w:r>
      <w:r w:rsidR="006F1D56" w:rsidRPr="008313ED">
        <w:rPr>
          <w:rStyle w:val="FootnoteReference"/>
          <w:rFonts w:asciiTheme="minorHAnsi" w:hAnsiTheme="minorHAnsi"/>
        </w:rPr>
        <w:footnoteReference w:id="6"/>
      </w:r>
    </w:p>
    <w:p w14:paraId="7AF05583" w14:textId="07254133" w:rsidR="001059BD" w:rsidRPr="008313ED" w:rsidRDefault="0533CFFA" w:rsidP="001059BD">
      <w:pPr>
        <w:pStyle w:val="ListParagraph"/>
        <w:widowControl w:val="0"/>
        <w:numPr>
          <w:ilvl w:val="0"/>
          <w:numId w:val="39"/>
        </w:numPr>
        <w:autoSpaceDE w:val="0"/>
        <w:autoSpaceDN w:val="0"/>
        <w:spacing w:before="0" w:after="0"/>
        <w:rPr>
          <w:rFonts w:asciiTheme="minorHAnsi" w:hAnsiTheme="minorHAnsi"/>
        </w:rPr>
      </w:pPr>
      <w:r w:rsidRPr="008313ED">
        <w:rPr>
          <w:rFonts w:asciiTheme="minorHAnsi" w:hAnsiTheme="minorHAnsi"/>
        </w:rPr>
        <w:t xml:space="preserve">Chemicals </w:t>
      </w:r>
      <w:r w:rsidR="05900067" w:rsidRPr="008313ED">
        <w:rPr>
          <w:rFonts w:asciiTheme="minorHAnsi" w:hAnsiTheme="minorHAnsi"/>
        </w:rPr>
        <w:t xml:space="preserve">that </w:t>
      </w:r>
      <w:r w:rsidR="5E110B57" w:rsidRPr="008313ED">
        <w:rPr>
          <w:rFonts w:asciiTheme="minorHAnsi" w:hAnsiTheme="minorHAnsi"/>
        </w:rPr>
        <w:t xml:space="preserve">US EPA denotes as “exempt” from being treated as Volatile Organic Compounds (VOCs) for purposes of smog pollution, but which have </w:t>
      </w:r>
      <w:r w:rsidR="5E110B57" w:rsidRPr="008313ED">
        <w:rPr>
          <w:rFonts w:asciiTheme="minorHAnsi" w:hAnsiTheme="minorHAnsi"/>
          <w:u w:val="single"/>
        </w:rPr>
        <w:t>toxicity</w:t>
      </w:r>
      <w:r w:rsidR="5E110B57" w:rsidRPr="008313ED">
        <w:rPr>
          <w:rFonts w:asciiTheme="minorHAnsi" w:hAnsiTheme="minorHAnsi"/>
        </w:rPr>
        <w:t xml:space="preserve"> of concern, especially if usage were to increase. </w:t>
      </w:r>
      <w:r w:rsidR="0B92F654" w:rsidRPr="008313ED">
        <w:rPr>
          <w:rFonts w:asciiTheme="minorHAnsi" w:hAnsiTheme="minorHAnsi"/>
        </w:rPr>
        <w:t>E</w:t>
      </w:r>
      <w:r w:rsidR="3B3E3D9C" w:rsidRPr="008313ED">
        <w:rPr>
          <w:rFonts w:asciiTheme="minorHAnsi" w:hAnsiTheme="minorHAnsi"/>
        </w:rPr>
        <w:t xml:space="preserve">xamples include </w:t>
      </w:r>
      <w:proofErr w:type="spellStart"/>
      <w:r w:rsidR="0FF7F465" w:rsidRPr="008313ED">
        <w:rPr>
          <w:rFonts w:asciiTheme="minorHAnsi" w:hAnsiTheme="minorHAnsi"/>
        </w:rPr>
        <w:t>parachlorobenzotrifluoride</w:t>
      </w:r>
      <w:proofErr w:type="spellEnd"/>
      <w:r w:rsidR="0FF7F465" w:rsidRPr="008313ED">
        <w:rPr>
          <w:rFonts w:asciiTheme="minorHAnsi" w:hAnsiTheme="minorHAnsi"/>
        </w:rPr>
        <w:t xml:space="preserve"> (PCBTF)</w:t>
      </w:r>
      <w:r w:rsidR="00C06C98" w:rsidRPr="008313ED">
        <w:rPr>
          <w:rStyle w:val="FootnoteReference"/>
          <w:rFonts w:asciiTheme="minorHAnsi" w:hAnsiTheme="minorHAnsi"/>
        </w:rPr>
        <w:footnoteReference w:id="7"/>
      </w:r>
      <w:r w:rsidR="500D0297" w:rsidRPr="008313ED">
        <w:rPr>
          <w:rFonts w:asciiTheme="minorHAnsi" w:hAnsiTheme="minorHAnsi"/>
        </w:rPr>
        <w:t>, t-Butyl acetate (</w:t>
      </w:r>
      <w:proofErr w:type="spellStart"/>
      <w:r w:rsidR="500D0297" w:rsidRPr="008313ED">
        <w:rPr>
          <w:rFonts w:asciiTheme="minorHAnsi" w:hAnsiTheme="minorHAnsi"/>
        </w:rPr>
        <w:t>TBAc</w:t>
      </w:r>
      <w:proofErr w:type="spellEnd"/>
      <w:r w:rsidR="500D0297" w:rsidRPr="008313ED">
        <w:rPr>
          <w:rFonts w:asciiTheme="minorHAnsi" w:hAnsiTheme="minorHAnsi"/>
        </w:rPr>
        <w:t>)</w:t>
      </w:r>
      <w:r w:rsidR="500D0297" w:rsidRPr="008313ED">
        <w:rPr>
          <w:rStyle w:val="FootnoteReference"/>
          <w:rFonts w:asciiTheme="minorHAnsi" w:hAnsiTheme="minorHAnsi"/>
        </w:rPr>
        <w:t xml:space="preserve"> </w:t>
      </w:r>
      <w:r w:rsidR="0097372D" w:rsidRPr="008313ED">
        <w:rPr>
          <w:rStyle w:val="FootnoteReference"/>
          <w:rFonts w:asciiTheme="minorHAnsi" w:hAnsiTheme="minorHAnsi"/>
        </w:rPr>
        <w:footnoteReference w:id="8"/>
      </w:r>
      <w:r w:rsidR="500D0297" w:rsidRPr="008313ED">
        <w:rPr>
          <w:rFonts w:asciiTheme="minorHAnsi" w:hAnsiTheme="minorHAnsi"/>
        </w:rPr>
        <w:t xml:space="preserve">, </w:t>
      </w:r>
      <w:r w:rsidR="0FF7F465" w:rsidRPr="008313ED">
        <w:rPr>
          <w:rFonts w:asciiTheme="minorHAnsi" w:hAnsiTheme="minorHAnsi"/>
        </w:rPr>
        <w:t>and n-Propyl bromide</w:t>
      </w:r>
      <w:r w:rsidR="00C06C98" w:rsidRPr="008313ED">
        <w:rPr>
          <w:rStyle w:val="FootnoteReference"/>
          <w:rFonts w:asciiTheme="minorHAnsi" w:hAnsiTheme="minorHAnsi"/>
        </w:rPr>
        <w:footnoteReference w:id="9"/>
      </w:r>
      <w:r w:rsidR="3B3E3D9C" w:rsidRPr="008313ED">
        <w:rPr>
          <w:rFonts w:asciiTheme="minorHAnsi" w:hAnsiTheme="minorHAnsi"/>
        </w:rPr>
        <w:t>and others</w:t>
      </w:r>
      <w:r w:rsidR="00402095" w:rsidRPr="008313ED">
        <w:rPr>
          <w:rFonts w:asciiTheme="minorHAnsi" w:hAnsiTheme="minorHAnsi"/>
        </w:rPr>
        <w:t>.</w:t>
      </w:r>
    </w:p>
    <w:p w14:paraId="429E14FB" w14:textId="6D165D2A" w:rsidR="006F1D56" w:rsidRPr="008313ED" w:rsidRDefault="006F1D56" w:rsidP="006F1D56">
      <w:pPr>
        <w:pStyle w:val="ListParagraph"/>
        <w:widowControl w:val="0"/>
        <w:numPr>
          <w:ilvl w:val="0"/>
          <w:numId w:val="39"/>
        </w:numPr>
        <w:autoSpaceDE w:val="0"/>
        <w:autoSpaceDN w:val="0"/>
        <w:spacing w:before="0" w:after="0"/>
        <w:contextualSpacing w:val="0"/>
        <w:rPr>
          <w:rFonts w:asciiTheme="minorHAnsi" w:hAnsiTheme="minorHAnsi"/>
        </w:rPr>
      </w:pPr>
      <w:r w:rsidRPr="008313ED">
        <w:rPr>
          <w:rFonts w:asciiTheme="minorHAnsi" w:hAnsiTheme="minorHAnsi"/>
        </w:rPr>
        <w:t xml:space="preserve">Fumigants </w:t>
      </w:r>
      <w:r w:rsidR="0058644A" w:rsidRPr="008313ED">
        <w:rPr>
          <w:rFonts w:asciiTheme="minorHAnsi" w:hAnsiTheme="minorHAnsi"/>
        </w:rPr>
        <w:t>that facilities may use, such as on harvested commodities.</w:t>
      </w:r>
      <w:r w:rsidRPr="008313ED">
        <w:rPr>
          <w:rFonts w:asciiTheme="minorHAnsi" w:hAnsiTheme="minorHAnsi"/>
        </w:rPr>
        <w:t xml:space="preserve"> </w:t>
      </w:r>
    </w:p>
    <w:p w14:paraId="26DB3572" w14:textId="3C1F149B" w:rsidR="006F1D56" w:rsidRPr="008313ED" w:rsidRDefault="60BB47D4" w:rsidP="001059BD">
      <w:pPr>
        <w:pStyle w:val="ListParagraph"/>
        <w:widowControl w:val="0"/>
        <w:numPr>
          <w:ilvl w:val="0"/>
          <w:numId w:val="39"/>
        </w:numPr>
        <w:autoSpaceDE w:val="0"/>
        <w:autoSpaceDN w:val="0"/>
        <w:spacing w:before="0" w:after="0"/>
        <w:rPr>
          <w:rFonts w:asciiTheme="minorHAnsi" w:hAnsiTheme="minorHAnsi"/>
        </w:rPr>
      </w:pPr>
      <w:r w:rsidRPr="008313ED">
        <w:rPr>
          <w:rFonts w:asciiTheme="minorHAnsi" w:hAnsiTheme="minorHAnsi"/>
        </w:rPr>
        <w:t xml:space="preserve">High production </w:t>
      </w:r>
      <w:r w:rsidR="5F0EAEBB" w:rsidRPr="008313ED">
        <w:rPr>
          <w:rFonts w:asciiTheme="minorHAnsi" w:hAnsiTheme="minorHAnsi"/>
        </w:rPr>
        <w:t xml:space="preserve">volume </w:t>
      </w:r>
      <w:r w:rsidRPr="008313ED">
        <w:rPr>
          <w:rFonts w:asciiTheme="minorHAnsi" w:hAnsiTheme="minorHAnsi"/>
        </w:rPr>
        <w:t>chemicals</w:t>
      </w:r>
      <w:r w:rsidR="10AF160C" w:rsidRPr="008313ED">
        <w:rPr>
          <w:rFonts w:asciiTheme="minorHAnsi" w:hAnsiTheme="minorHAnsi"/>
        </w:rPr>
        <w:t>.</w:t>
      </w:r>
    </w:p>
    <w:p w14:paraId="759F4E00" w14:textId="54709473" w:rsidR="006F1D56" w:rsidRPr="008313ED" w:rsidRDefault="5F0EAEBB" w:rsidP="001059BD">
      <w:pPr>
        <w:pStyle w:val="ListParagraph"/>
        <w:widowControl w:val="0"/>
        <w:numPr>
          <w:ilvl w:val="0"/>
          <w:numId w:val="39"/>
        </w:numPr>
        <w:autoSpaceDE w:val="0"/>
        <w:autoSpaceDN w:val="0"/>
        <w:spacing w:before="0" w:after="0"/>
        <w:rPr>
          <w:rFonts w:asciiTheme="minorHAnsi" w:hAnsiTheme="minorHAnsi"/>
        </w:rPr>
      </w:pPr>
      <w:r w:rsidRPr="008313ED">
        <w:rPr>
          <w:rFonts w:asciiTheme="minorHAnsi" w:hAnsiTheme="minorHAnsi"/>
        </w:rPr>
        <w:t>Chemicals that exhibit p</w:t>
      </w:r>
      <w:r w:rsidR="60BB47D4" w:rsidRPr="008313ED">
        <w:rPr>
          <w:rFonts w:asciiTheme="minorHAnsi" w:hAnsiTheme="minorHAnsi"/>
        </w:rPr>
        <w:t>ersistence and bioaccumulation</w:t>
      </w:r>
      <w:r w:rsidR="0F509198" w:rsidRPr="008313ED">
        <w:rPr>
          <w:rFonts w:asciiTheme="minorHAnsi" w:hAnsiTheme="minorHAnsi"/>
        </w:rPr>
        <w:t>.</w:t>
      </w:r>
    </w:p>
    <w:p w14:paraId="08BCB3D7" w14:textId="77777777" w:rsidR="00057A7B" w:rsidRPr="008313ED" w:rsidRDefault="7E9ACC7A" w:rsidP="000101A9">
      <w:pPr>
        <w:pStyle w:val="ListParagraph"/>
        <w:numPr>
          <w:ilvl w:val="0"/>
          <w:numId w:val="39"/>
        </w:numPr>
        <w:rPr>
          <w:rFonts w:asciiTheme="minorHAnsi" w:hAnsiTheme="minorHAnsi"/>
        </w:rPr>
      </w:pPr>
      <w:r w:rsidRPr="008313ED">
        <w:rPr>
          <w:rFonts w:asciiTheme="minorHAnsi" w:hAnsiTheme="minorHAnsi"/>
        </w:rPr>
        <w:t xml:space="preserve">Other chemicals of concern, </w:t>
      </w:r>
      <w:r w:rsidR="5FD47FF2" w:rsidRPr="008313ED">
        <w:rPr>
          <w:rFonts w:asciiTheme="minorHAnsi" w:hAnsiTheme="minorHAnsi"/>
        </w:rPr>
        <w:t xml:space="preserve">such as chemicals </w:t>
      </w:r>
      <w:r w:rsidR="34C41F2A" w:rsidRPr="008313ED">
        <w:rPr>
          <w:rFonts w:asciiTheme="minorHAnsi" w:hAnsiTheme="minorHAnsi"/>
        </w:rPr>
        <w:t xml:space="preserve">raised </w:t>
      </w:r>
      <w:r w:rsidR="5285AFA2" w:rsidRPr="008313ED">
        <w:rPr>
          <w:rFonts w:asciiTheme="minorHAnsi" w:hAnsiTheme="minorHAnsi"/>
        </w:rPr>
        <w:t>by</w:t>
      </w:r>
      <w:r w:rsidR="34C41F2A" w:rsidRPr="008313ED">
        <w:rPr>
          <w:rFonts w:asciiTheme="minorHAnsi" w:hAnsiTheme="minorHAnsi"/>
        </w:rPr>
        <w:t xml:space="preserve"> the Scientific Review Panel,</w:t>
      </w:r>
      <w:r w:rsidR="00432677" w:rsidRPr="008313ED">
        <w:rPr>
          <w:rFonts w:asciiTheme="minorHAnsi" w:hAnsiTheme="minorHAnsi"/>
        </w:rPr>
        <w:t xml:space="preserve"> rare earth and other metals</w:t>
      </w:r>
      <w:r w:rsidR="70AB1252" w:rsidRPr="008313ED">
        <w:rPr>
          <w:rFonts w:asciiTheme="minorHAnsi" w:hAnsiTheme="minorHAnsi"/>
        </w:rPr>
        <w:t>,</w:t>
      </w:r>
      <w:r w:rsidR="001059BD" w:rsidRPr="008313ED">
        <w:rPr>
          <w:rStyle w:val="FootnoteReference"/>
          <w:rFonts w:asciiTheme="minorHAnsi" w:hAnsiTheme="minorHAnsi"/>
        </w:rPr>
        <w:footnoteReference w:id="10"/>
      </w:r>
      <w:r w:rsidR="2B09C612" w:rsidRPr="008313ED">
        <w:rPr>
          <w:rFonts w:asciiTheme="minorHAnsi" w:hAnsiTheme="minorHAnsi"/>
        </w:rPr>
        <w:t xml:space="preserve"> </w:t>
      </w:r>
      <w:r w:rsidR="001059BD" w:rsidRPr="008313ED">
        <w:rPr>
          <w:rStyle w:val="FootnoteReference"/>
          <w:rFonts w:asciiTheme="minorHAnsi" w:hAnsiTheme="minorHAnsi"/>
        </w:rPr>
        <w:footnoteReference w:id="11"/>
      </w:r>
      <w:r w:rsidR="3B8CC53B" w:rsidRPr="008313ED">
        <w:rPr>
          <w:rFonts w:asciiTheme="minorHAnsi" w:hAnsiTheme="minorHAnsi"/>
        </w:rPr>
        <w:t xml:space="preserve"> </w:t>
      </w:r>
      <w:r w:rsidR="4311D090" w:rsidRPr="008313ED">
        <w:rPr>
          <w:rFonts w:asciiTheme="minorHAnsi" w:hAnsiTheme="minorHAnsi"/>
        </w:rPr>
        <w:t>and isocyanate</w:t>
      </w:r>
      <w:r w:rsidRPr="008313ED">
        <w:rPr>
          <w:rFonts w:asciiTheme="minorHAnsi" w:hAnsiTheme="minorHAnsi"/>
        </w:rPr>
        <w:t>-related chemicals</w:t>
      </w:r>
      <w:r w:rsidR="3B8CC53B" w:rsidRPr="008313ED">
        <w:rPr>
          <w:rFonts w:asciiTheme="minorHAnsi" w:hAnsiTheme="minorHAnsi"/>
        </w:rPr>
        <w:t xml:space="preserve">. </w:t>
      </w:r>
    </w:p>
    <w:p w14:paraId="710D6AE3" w14:textId="65EE8A5E" w:rsidR="001059BD" w:rsidRPr="008313ED" w:rsidRDefault="1E7F9CAE" w:rsidP="00057A7B">
      <w:pPr>
        <w:pStyle w:val="ListParagraph"/>
        <w:numPr>
          <w:ilvl w:val="1"/>
          <w:numId w:val="39"/>
        </w:numPr>
        <w:rPr>
          <w:rFonts w:asciiTheme="minorHAnsi" w:hAnsiTheme="minorHAnsi"/>
        </w:rPr>
      </w:pPr>
      <w:r w:rsidRPr="008313ED">
        <w:rPr>
          <w:rFonts w:asciiTheme="minorHAnsi" w:hAnsiTheme="minorHAnsi"/>
        </w:rPr>
        <w:t xml:space="preserve">For example, </w:t>
      </w:r>
      <w:r w:rsidR="6ACAA00F" w:rsidRPr="008313ED">
        <w:rPr>
          <w:rFonts w:asciiTheme="minorHAnsi" w:hAnsiTheme="minorHAnsi"/>
        </w:rPr>
        <w:t xml:space="preserve">some </w:t>
      </w:r>
      <w:r w:rsidRPr="008313ED">
        <w:rPr>
          <w:rFonts w:asciiTheme="minorHAnsi" w:hAnsiTheme="minorHAnsi"/>
        </w:rPr>
        <w:t>isocyanate</w:t>
      </w:r>
      <w:r w:rsidR="3AAAD704" w:rsidRPr="008313ED">
        <w:rPr>
          <w:rFonts w:asciiTheme="minorHAnsi" w:hAnsiTheme="minorHAnsi"/>
        </w:rPr>
        <w:t>-</w:t>
      </w:r>
      <w:r w:rsidRPr="008313ED">
        <w:rPr>
          <w:rFonts w:asciiTheme="minorHAnsi" w:hAnsiTheme="minorHAnsi"/>
        </w:rPr>
        <w:t>related chemicals can occur at neighborhood</w:t>
      </w:r>
      <w:r w:rsidR="76C065ED" w:rsidRPr="008313ED">
        <w:rPr>
          <w:rFonts w:asciiTheme="minorHAnsi" w:hAnsiTheme="minorHAnsi"/>
        </w:rPr>
        <w:t xml:space="preserve"> sources</w:t>
      </w:r>
      <w:r w:rsidR="00057A7B" w:rsidRPr="008313ED">
        <w:rPr>
          <w:rFonts w:asciiTheme="minorHAnsi" w:hAnsiTheme="minorHAnsi"/>
        </w:rPr>
        <w:t xml:space="preserve">, </w:t>
      </w:r>
      <w:r w:rsidR="76C065ED" w:rsidRPr="008313ED">
        <w:rPr>
          <w:rFonts w:asciiTheme="minorHAnsi" w:hAnsiTheme="minorHAnsi"/>
        </w:rPr>
        <w:t>such as</w:t>
      </w:r>
      <w:r w:rsidR="7E9ACC7A" w:rsidRPr="008313ED">
        <w:rPr>
          <w:rFonts w:asciiTheme="minorHAnsi" w:hAnsiTheme="minorHAnsi"/>
        </w:rPr>
        <w:t xml:space="preserve"> autobody shops</w:t>
      </w:r>
      <w:r w:rsidR="00057A7B" w:rsidRPr="008313ED">
        <w:rPr>
          <w:rFonts w:asciiTheme="minorHAnsi" w:hAnsiTheme="minorHAnsi"/>
        </w:rPr>
        <w:t>,</w:t>
      </w:r>
      <w:r w:rsidR="7E9ACC7A" w:rsidRPr="008313ED">
        <w:rPr>
          <w:rFonts w:asciiTheme="minorHAnsi" w:hAnsiTheme="minorHAnsi"/>
        </w:rPr>
        <w:t xml:space="preserve"> and</w:t>
      </w:r>
      <w:r w:rsidR="4311D090" w:rsidRPr="008313ED">
        <w:rPr>
          <w:rFonts w:asciiTheme="minorHAnsi" w:hAnsiTheme="minorHAnsi"/>
        </w:rPr>
        <w:t xml:space="preserve"> may </w:t>
      </w:r>
      <w:r w:rsidR="4362570A" w:rsidRPr="008313ED">
        <w:rPr>
          <w:rFonts w:asciiTheme="minorHAnsi" w:hAnsiTheme="minorHAnsi"/>
        </w:rPr>
        <w:t xml:space="preserve">promote the development of </w:t>
      </w:r>
      <w:r w:rsidR="4311D090" w:rsidRPr="008313ED">
        <w:rPr>
          <w:rFonts w:asciiTheme="minorHAnsi" w:hAnsiTheme="minorHAnsi"/>
        </w:rPr>
        <w:t>asthma</w:t>
      </w:r>
      <w:r w:rsidR="5724513F" w:rsidRPr="008313ED">
        <w:rPr>
          <w:rFonts w:asciiTheme="minorHAnsi" w:hAnsiTheme="minorHAnsi"/>
        </w:rPr>
        <w:t>,</w:t>
      </w:r>
      <w:r w:rsidR="4311D090" w:rsidRPr="008313ED">
        <w:rPr>
          <w:rFonts w:asciiTheme="minorHAnsi" w:hAnsiTheme="minorHAnsi"/>
        </w:rPr>
        <w:t xml:space="preserve"> </w:t>
      </w:r>
      <w:r w:rsidR="4779B86F" w:rsidRPr="008313ED">
        <w:rPr>
          <w:rFonts w:asciiTheme="minorHAnsi" w:hAnsiTheme="minorHAnsi"/>
        </w:rPr>
        <w:t xml:space="preserve">and may </w:t>
      </w:r>
      <w:r w:rsidR="4311D090" w:rsidRPr="008313ED">
        <w:rPr>
          <w:rFonts w:asciiTheme="minorHAnsi" w:hAnsiTheme="minorHAnsi"/>
        </w:rPr>
        <w:t>creat</w:t>
      </w:r>
      <w:r w:rsidR="661B848C" w:rsidRPr="008313ED">
        <w:rPr>
          <w:rFonts w:asciiTheme="minorHAnsi" w:hAnsiTheme="minorHAnsi"/>
        </w:rPr>
        <w:t>e</w:t>
      </w:r>
      <w:r w:rsidR="4311D090" w:rsidRPr="008313ED">
        <w:rPr>
          <w:rFonts w:asciiTheme="minorHAnsi" w:hAnsiTheme="minorHAnsi"/>
        </w:rPr>
        <w:t xml:space="preserve"> </w:t>
      </w:r>
      <w:r w:rsidR="7E9ACC7A" w:rsidRPr="008313ED">
        <w:rPr>
          <w:rFonts w:asciiTheme="minorHAnsi" w:hAnsiTheme="minorHAnsi"/>
        </w:rPr>
        <w:t>a heightened allergic response</w:t>
      </w:r>
      <w:r w:rsidR="4311D090" w:rsidRPr="008313ED">
        <w:rPr>
          <w:rFonts w:asciiTheme="minorHAnsi" w:hAnsiTheme="minorHAnsi"/>
        </w:rPr>
        <w:t xml:space="preserve"> in sensitized persons</w:t>
      </w:r>
      <w:r w:rsidR="002F4011" w:rsidRPr="008313ED">
        <w:rPr>
          <w:rFonts w:asciiTheme="minorHAnsi" w:hAnsiTheme="minorHAnsi"/>
        </w:rPr>
        <w:t xml:space="preserve">. </w:t>
      </w:r>
    </w:p>
    <w:p w14:paraId="4EDB50C1" w14:textId="48DEA5D1" w:rsidR="001059BD" w:rsidRPr="008313ED" w:rsidRDefault="6E228CD3" w:rsidP="13454CB1">
      <w:pPr>
        <w:pStyle w:val="ListParagraph"/>
        <w:widowControl w:val="0"/>
        <w:numPr>
          <w:ilvl w:val="0"/>
          <w:numId w:val="39"/>
        </w:numPr>
        <w:autoSpaceDE w:val="0"/>
        <w:autoSpaceDN w:val="0"/>
        <w:spacing w:before="0" w:after="0"/>
        <w:rPr>
          <w:rFonts w:asciiTheme="minorHAnsi" w:hAnsiTheme="minorHAnsi"/>
        </w:rPr>
      </w:pPr>
      <w:r w:rsidRPr="008313ED">
        <w:rPr>
          <w:rFonts w:asciiTheme="minorHAnsi" w:hAnsiTheme="minorHAnsi"/>
        </w:rPr>
        <w:t>Choosing a few key instances of the chemicals of greatest concern within some of the very large groups</w:t>
      </w:r>
      <w:r w:rsidR="70A9BE45" w:rsidRPr="008313ED">
        <w:rPr>
          <w:rFonts w:asciiTheme="minorHAnsi" w:hAnsiTheme="minorHAnsi"/>
        </w:rPr>
        <w:t xml:space="preserve">, </w:t>
      </w:r>
      <w:r w:rsidRPr="008313ED">
        <w:rPr>
          <w:rFonts w:asciiTheme="minorHAnsi" w:hAnsiTheme="minorHAnsi"/>
        </w:rPr>
        <w:t>including</w:t>
      </w:r>
      <w:r w:rsidR="70A9BE45" w:rsidRPr="008313ED">
        <w:rPr>
          <w:rFonts w:asciiTheme="minorHAnsi" w:hAnsiTheme="minorHAnsi"/>
        </w:rPr>
        <w:t xml:space="preserve"> the large groups such as</w:t>
      </w:r>
      <w:r w:rsidRPr="008313ED">
        <w:rPr>
          <w:rFonts w:asciiTheme="minorHAnsi" w:hAnsiTheme="minorHAnsi"/>
        </w:rPr>
        <w:t xml:space="preserve"> PFAS, </w:t>
      </w:r>
      <w:r w:rsidR="2B09C612" w:rsidRPr="008313ED">
        <w:rPr>
          <w:rFonts w:asciiTheme="minorHAnsi" w:hAnsiTheme="minorHAnsi"/>
        </w:rPr>
        <w:t>Phthalates</w:t>
      </w:r>
      <w:r w:rsidRPr="008313ED">
        <w:rPr>
          <w:rFonts w:asciiTheme="minorHAnsi" w:hAnsiTheme="minorHAnsi"/>
        </w:rPr>
        <w:t xml:space="preserve"> and flame retardants</w:t>
      </w:r>
      <w:r w:rsidR="2CA767BE" w:rsidRPr="008313ED">
        <w:rPr>
          <w:rFonts w:asciiTheme="minorHAnsi" w:hAnsiTheme="minorHAnsi"/>
        </w:rPr>
        <w:t>.</w:t>
      </w:r>
    </w:p>
    <w:p w14:paraId="5F68902F" w14:textId="7F952EA3" w:rsidR="00240684" w:rsidRPr="008313ED" w:rsidRDefault="6A79A0BF" w:rsidP="00B2468C">
      <w:pPr>
        <w:pStyle w:val="Heading3"/>
        <w:rPr>
          <w:rFonts w:asciiTheme="minorHAnsi" w:hAnsiTheme="minorHAnsi"/>
        </w:rPr>
      </w:pPr>
      <w:bookmarkStart w:id="44" w:name="_Toc187305876"/>
      <w:r w:rsidRPr="008313ED">
        <w:rPr>
          <w:rFonts w:asciiTheme="minorHAnsi" w:hAnsiTheme="minorHAnsi"/>
        </w:rPr>
        <w:t xml:space="preserve">How did CARB determine the groupings of some of the chemicals in EICG’s Appendix A (e.g., </w:t>
      </w:r>
      <w:r w:rsidR="73E5EF8D" w:rsidRPr="008313ED">
        <w:rPr>
          <w:rFonts w:asciiTheme="minorHAnsi" w:hAnsiTheme="minorHAnsi"/>
        </w:rPr>
        <w:t xml:space="preserve">xylenes, metal compounds, </w:t>
      </w:r>
      <w:r w:rsidRPr="008313ED">
        <w:rPr>
          <w:rFonts w:asciiTheme="minorHAnsi" w:hAnsiTheme="minorHAnsi"/>
        </w:rPr>
        <w:t xml:space="preserve">glycol ethers, PAH compounds, </w:t>
      </w:r>
      <w:r w:rsidR="0937C598" w:rsidRPr="008313ED">
        <w:rPr>
          <w:rFonts w:asciiTheme="minorHAnsi" w:hAnsiTheme="minorHAnsi"/>
        </w:rPr>
        <w:t xml:space="preserve">functional groups, </w:t>
      </w:r>
      <w:r w:rsidRPr="008313ED">
        <w:rPr>
          <w:rFonts w:asciiTheme="minorHAnsi" w:hAnsiTheme="minorHAnsi"/>
        </w:rPr>
        <w:t>and others)?</w:t>
      </w:r>
      <w:bookmarkEnd w:id="44"/>
      <w:r w:rsidRPr="008313ED">
        <w:rPr>
          <w:rFonts w:asciiTheme="minorHAnsi" w:hAnsiTheme="minorHAnsi"/>
        </w:rPr>
        <w:t xml:space="preserve">  </w:t>
      </w:r>
    </w:p>
    <w:p w14:paraId="14440806" w14:textId="06FF9BBB" w:rsidR="00240684" w:rsidRPr="008313ED" w:rsidRDefault="00240684" w:rsidP="00753826">
      <w:pPr>
        <w:rPr>
          <w:rFonts w:asciiTheme="minorHAnsi" w:hAnsiTheme="minorHAnsi"/>
        </w:rPr>
      </w:pPr>
      <w:r w:rsidRPr="008313ED">
        <w:rPr>
          <w:rFonts w:asciiTheme="minorHAnsi" w:hAnsiTheme="minorHAnsi"/>
        </w:rPr>
        <w:t>The AB2588 EICG</w:t>
      </w:r>
      <w:r w:rsidRPr="008313ED" w:rsidDel="00C01450">
        <w:rPr>
          <w:rFonts w:asciiTheme="minorHAnsi" w:hAnsiTheme="minorHAnsi"/>
        </w:rPr>
        <w:t xml:space="preserve"> </w:t>
      </w:r>
      <w:proofErr w:type="gramStart"/>
      <w:r w:rsidR="00C01450" w:rsidRPr="008313ED">
        <w:rPr>
          <w:rFonts w:asciiTheme="minorHAnsi" w:hAnsiTheme="minorHAnsi"/>
        </w:rPr>
        <w:t xml:space="preserve">Regulation </w:t>
      </w:r>
      <w:r w:rsidRPr="008313ED">
        <w:rPr>
          <w:rFonts w:asciiTheme="minorHAnsi" w:hAnsiTheme="minorHAnsi"/>
        </w:rPr>
        <w:t>Appendix</w:t>
      </w:r>
      <w:proofErr w:type="gramEnd"/>
      <w:r w:rsidRPr="008313ED">
        <w:rPr>
          <w:rFonts w:asciiTheme="minorHAnsi" w:hAnsiTheme="minorHAnsi"/>
        </w:rPr>
        <w:t xml:space="preserve"> A substance list contains many groupings and group headers.  These groups and group headers have come about over the years for </w:t>
      </w:r>
      <w:r w:rsidR="00210C5A" w:rsidRPr="008313ED">
        <w:rPr>
          <w:rFonts w:asciiTheme="minorHAnsi" w:hAnsiTheme="minorHAnsi"/>
        </w:rPr>
        <w:t>a few</w:t>
      </w:r>
      <w:r w:rsidRPr="008313ED">
        <w:rPr>
          <w:rFonts w:asciiTheme="minorHAnsi" w:hAnsiTheme="minorHAnsi"/>
        </w:rPr>
        <w:t xml:space="preserve"> different reasons, </w:t>
      </w:r>
      <w:r w:rsidR="541C0D9E" w:rsidRPr="008313ED">
        <w:rPr>
          <w:rFonts w:asciiTheme="minorHAnsi" w:hAnsiTheme="minorHAnsi"/>
        </w:rPr>
        <w:t xml:space="preserve">primarily related to the extent of shared health effects </w:t>
      </w:r>
      <w:r w:rsidRPr="008313ED">
        <w:rPr>
          <w:rFonts w:asciiTheme="minorHAnsi" w:hAnsiTheme="minorHAnsi"/>
        </w:rPr>
        <w:t>and</w:t>
      </w:r>
      <w:r w:rsidR="541C0D9E" w:rsidRPr="008313ED">
        <w:rPr>
          <w:rFonts w:asciiTheme="minorHAnsi" w:hAnsiTheme="minorHAnsi"/>
        </w:rPr>
        <w:t>/or chemical similarities</w:t>
      </w:r>
      <w:r w:rsidR="541321F1" w:rsidRPr="008313ED">
        <w:rPr>
          <w:rFonts w:asciiTheme="minorHAnsi" w:hAnsiTheme="minorHAnsi"/>
        </w:rPr>
        <w:t>. The</w:t>
      </w:r>
      <w:r w:rsidRPr="008313ED">
        <w:rPr>
          <w:rFonts w:asciiTheme="minorHAnsi" w:hAnsiTheme="minorHAnsi"/>
        </w:rPr>
        <w:t xml:space="preserve"> reporting of emissions for these groups differs</w:t>
      </w:r>
      <w:r w:rsidR="1BDDBED1" w:rsidRPr="008313ED">
        <w:rPr>
          <w:rFonts w:asciiTheme="minorHAnsi" w:hAnsiTheme="minorHAnsi"/>
        </w:rPr>
        <w:t xml:space="preserve"> accordingly</w:t>
      </w:r>
      <w:r w:rsidR="102EF77A" w:rsidRPr="008313ED">
        <w:rPr>
          <w:rFonts w:asciiTheme="minorHAnsi" w:hAnsiTheme="minorHAnsi"/>
        </w:rPr>
        <w:t xml:space="preserve">. </w:t>
      </w:r>
      <w:r w:rsidR="2965C226" w:rsidRPr="008313ED">
        <w:rPr>
          <w:rFonts w:asciiTheme="minorHAnsi" w:hAnsiTheme="minorHAnsi"/>
        </w:rPr>
        <w:t xml:space="preserve">See EICG Section VIII.F., the </w:t>
      </w:r>
      <w:r w:rsidR="774A8493" w:rsidRPr="008313ED">
        <w:rPr>
          <w:rFonts w:asciiTheme="minorHAnsi" w:hAnsiTheme="minorHAnsi"/>
        </w:rPr>
        <w:t xml:space="preserve">EICG </w:t>
      </w:r>
      <w:r w:rsidR="2965C226" w:rsidRPr="008313ED">
        <w:rPr>
          <w:rFonts w:asciiTheme="minorHAnsi" w:hAnsiTheme="minorHAnsi"/>
        </w:rPr>
        <w:t>Appendix A</w:t>
      </w:r>
      <w:r w:rsidR="1A33C198" w:rsidRPr="008313ED">
        <w:rPr>
          <w:rFonts w:asciiTheme="minorHAnsi" w:hAnsiTheme="minorHAnsi"/>
        </w:rPr>
        <w:t xml:space="preserve"> and its Notes</w:t>
      </w:r>
      <w:r w:rsidR="2965C226" w:rsidRPr="008313ED">
        <w:rPr>
          <w:rFonts w:asciiTheme="minorHAnsi" w:hAnsiTheme="minorHAnsi"/>
        </w:rPr>
        <w:t>, and the Consolidated Table of</w:t>
      </w:r>
      <w:r w:rsidR="19339EA9" w:rsidRPr="008313ED">
        <w:rPr>
          <w:rFonts w:asciiTheme="minorHAnsi" w:hAnsiTheme="minorHAnsi"/>
        </w:rPr>
        <w:t xml:space="preserve"> OEHHA/ARB Approved Risk </w:t>
      </w:r>
      <w:proofErr w:type="gramStart"/>
      <w:r w:rsidR="19339EA9" w:rsidRPr="008313ED">
        <w:rPr>
          <w:rFonts w:asciiTheme="minorHAnsi" w:hAnsiTheme="minorHAnsi"/>
        </w:rPr>
        <w:t>Assessment</w:t>
      </w:r>
      <w:proofErr w:type="gramEnd"/>
      <w:r w:rsidR="19339EA9" w:rsidRPr="008313ED">
        <w:rPr>
          <w:rFonts w:asciiTheme="minorHAnsi" w:hAnsiTheme="minorHAnsi"/>
        </w:rPr>
        <w:t xml:space="preserve"> Health Values and its footnotes for more details.</w:t>
      </w:r>
      <w:r w:rsidR="4A64B164" w:rsidRPr="008313ED">
        <w:rPr>
          <w:rFonts w:asciiTheme="minorHAnsi" w:hAnsiTheme="minorHAnsi"/>
        </w:rPr>
        <w:t xml:space="preserve"> </w:t>
      </w:r>
    </w:p>
    <w:p w14:paraId="6CC82FFD" w14:textId="6D3FFA40" w:rsidR="00240684" w:rsidRPr="008313ED" w:rsidRDefault="00E27F98" w:rsidP="00753826">
      <w:pPr>
        <w:rPr>
          <w:rFonts w:asciiTheme="minorHAnsi" w:hAnsiTheme="minorHAnsi"/>
        </w:rPr>
      </w:pPr>
      <w:proofErr w:type="gramStart"/>
      <w:r w:rsidRPr="008313ED">
        <w:rPr>
          <w:rFonts w:asciiTheme="minorHAnsi" w:hAnsiTheme="minorHAnsi"/>
        </w:rPr>
        <w:t xml:space="preserve">In </w:t>
      </w:r>
      <w:r w:rsidR="4A64B164" w:rsidRPr="008313ED">
        <w:rPr>
          <w:rFonts w:asciiTheme="minorHAnsi" w:hAnsiTheme="minorHAnsi"/>
        </w:rPr>
        <w:t>order to</w:t>
      </w:r>
      <w:proofErr w:type="gramEnd"/>
      <w:r w:rsidR="4A64B164" w:rsidRPr="008313ED">
        <w:rPr>
          <w:rFonts w:asciiTheme="minorHAnsi" w:hAnsiTheme="minorHAnsi"/>
        </w:rPr>
        <w:t xml:space="preserve"> provide the most relevant information for evalu</w:t>
      </w:r>
      <w:r w:rsidR="46374ED9" w:rsidRPr="008313ED">
        <w:rPr>
          <w:rFonts w:asciiTheme="minorHAnsi" w:hAnsiTheme="minorHAnsi"/>
        </w:rPr>
        <w:t>ating public health impacts and potential reduction or control opportunities</w:t>
      </w:r>
      <w:r w:rsidRPr="008313ED">
        <w:rPr>
          <w:rFonts w:asciiTheme="minorHAnsi" w:hAnsiTheme="minorHAnsi"/>
        </w:rPr>
        <w:t>, it is generally preferred or required for each individual substance within a group to be reported individually</w:t>
      </w:r>
      <w:r w:rsidR="00AB07DF" w:rsidRPr="008313ED">
        <w:rPr>
          <w:rFonts w:asciiTheme="minorHAnsi" w:hAnsiTheme="minorHAnsi"/>
        </w:rPr>
        <w:t xml:space="preserve">. </w:t>
      </w:r>
    </w:p>
    <w:p w14:paraId="2BDDB97E" w14:textId="4A7068A1" w:rsidR="00240684" w:rsidRPr="008313ED" w:rsidRDefault="6E3E6D70" w:rsidP="00753826">
      <w:pPr>
        <w:rPr>
          <w:rFonts w:asciiTheme="minorHAnsi" w:hAnsiTheme="minorHAnsi"/>
        </w:rPr>
      </w:pPr>
      <w:r w:rsidRPr="008313ED">
        <w:rPr>
          <w:rFonts w:asciiTheme="minorHAnsi" w:hAnsiTheme="minorHAnsi"/>
        </w:rPr>
        <w:t>The main types of groups and group headers are summarized below.</w:t>
      </w:r>
      <w:r w:rsidR="102EF77A" w:rsidRPr="008313ED">
        <w:rPr>
          <w:rFonts w:asciiTheme="minorHAnsi" w:hAnsiTheme="minorHAnsi"/>
        </w:rPr>
        <w:t xml:space="preserve"> </w:t>
      </w:r>
    </w:p>
    <w:p w14:paraId="14D7937D" w14:textId="51BE5A6F" w:rsidR="00240684" w:rsidRPr="008313ED" w:rsidRDefault="7A3EEF6C" w:rsidP="00AB07DF">
      <w:pPr>
        <w:pStyle w:val="ListParagraph"/>
        <w:numPr>
          <w:ilvl w:val="0"/>
          <w:numId w:val="50"/>
        </w:numPr>
        <w:rPr>
          <w:rFonts w:asciiTheme="minorHAnsi" w:hAnsiTheme="minorHAnsi"/>
        </w:rPr>
      </w:pPr>
      <w:r w:rsidRPr="008313ED">
        <w:rPr>
          <w:rFonts w:asciiTheme="minorHAnsi" w:hAnsiTheme="minorHAnsi"/>
          <w:u w:val="single"/>
        </w:rPr>
        <w:t>Aggregate reporting</w:t>
      </w:r>
      <w:r w:rsidRPr="008313ED">
        <w:rPr>
          <w:rFonts w:asciiTheme="minorHAnsi" w:hAnsiTheme="minorHAnsi"/>
        </w:rPr>
        <w:t>:</w:t>
      </w:r>
      <w:r w:rsidR="41C34A0D" w:rsidRPr="008313ED">
        <w:rPr>
          <w:rFonts w:asciiTheme="minorHAnsi" w:hAnsiTheme="minorHAnsi"/>
        </w:rPr>
        <w:t xml:space="preserve"> In a few cases, emissions are allowed to be reported in the </w:t>
      </w:r>
      <w:r w:rsidR="41C34A0D" w:rsidRPr="008313ED">
        <w:rPr>
          <w:rFonts w:asciiTheme="minorHAnsi" w:hAnsiTheme="minorHAnsi"/>
          <w:i/>
          <w:iCs/>
        </w:rPr>
        <w:t>aggregate</w:t>
      </w:r>
      <w:r w:rsidR="41C34A0D" w:rsidRPr="008313ED">
        <w:rPr>
          <w:rFonts w:asciiTheme="minorHAnsi" w:hAnsiTheme="minorHAnsi"/>
        </w:rPr>
        <w:t xml:space="preserve"> for a group</w:t>
      </w:r>
      <w:r w:rsidR="0FCFAC0E" w:rsidRPr="008313ED">
        <w:rPr>
          <w:rFonts w:asciiTheme="minorHAnsi" w:hAnsiTheme="minorHAnsi"/>
        </w:rPr>
        <w:t xml:space="preserve">. For example, </w:t>
      </w:r>
      <w:r w:rsidR="41C34A0D" w:rsidRPr="008313ED">
        <w:rPr>
          <w:rFonts w:asciiTheme="minorHAnsi" w:hAnsiTheme="minorHAnsi"/>
        </w:rPr>
        <w:t xml:space="preserve">when the health effects values can be applied equally across all the instances within an entire group </w:t>
      </w:r>
      <w:r w:rsidR="1FBC7E65" w:rsidRPr="008313ED">
        <w:rPr>
          <w:rFonts w:asciiTheme="minorHAnsi" w:hAnsiTheme="minorHAnsi"/>
        </w:rPr>
        <w:t xml:space="preserve">and the group </w:t>
      </w:r>
      <w:r w:rsidR="41C34A0D" w:rsidRPr="008313ED">
        <w:rPr>
          <w:rFonts w:asciiTheme="minorHAnsi" w:hAnsiTheme="minorHAnsi"/>
        </w:rPr>
        <w:t xml:space="preserve">has a reportable </w:t>
      </w:r>
      <w:proofErr w:type="spellStart"/>
      <w:r w:rsidR="41C34A0D" w:rsidRPr="008313ED">
        <w:rPr>
          <w:rFonts w:asciiTheme="minorHAnsi" w:hAnsiTheme="minorHAnsi"/>
        </w:rPr>
        <w:t>Emittent</w:t>
      </w:r>
      <w:proofErr w:type="spellEnd"/>
      <w:r w:rsidR="41C34A0D" w:rsidRPr="008313ED">
        <w:rPr>
          <w:rFonts w:asciiTheme="minorHAnsi" w:hAnsiTheme="minorHAnsi"/>
        </w:rPr>
        <w:t xml:space="preserve"> ID</w:t>
      </w:r>
      <w:r w:rsidR="0FCFAC0E" w:rsidRPr="008313ED">
        <w:rPr>
          <w:rFonts w:asciiTheme="minorHAnsi" w:hAnsiTheme="minorHAnsi"/>
        </w:rPr>
        <w:t xml:space="preserve">, </w:t>
      </w:r>
      <w:r w:rsidR="18AE3207" w:rsidRPr="008313ED">
        <w:rPr>
          <w:rFonts w:asciiTheme="minorHAnsi" w:hAnsiTheme="minorHAnsi"/>
        </w:rPr>
        <w:t>which can be a CAS number or a 4-digit CARB ID number</w:t>
      </w:r>
      <w:r w:rsidR="1D8D4318" w:rsidRPr="008313ED">
        <w:rPr>
          <w:rFonts w:asciiTheme="minorHAnsi" w:hAnsiTheme="minorHAnsi"/>
        </w:rPr>
        <w:t>. This is the case for mixed Xylenes, for example</w:t>
      </w:r>
      <w:r w:rsidR="23ED19A2" w:rsidRPr="008313ED">
        <w:rPr>
          <w:rFonts w:asciiTheme="minorHAnsi" w:hAnsiTheme="minorHAnsi"/>
        </w:rPr>
        <w:t xml:space="preserve">, which can be reported in the aggregate </w:t>
      </w:r>
      <w:r w:rsidR="6251856F" w:rsidRPr="008313ED">
        <w:rPr>
          <w:rFonts w:asciiTheme="minorHAnsi" w:hAnsiTheme="minorHAnsi"/>
        </w:rPr>
        <w:t>using</w:t>
      </w:r>
      <w:r w:rsidR="23ED19A2" w:rsidRPr="008313ED">
        <w:rPr>
          <w:rFonts w:asciiTheme="minorHAnsi" w:hAnsiTheme="minorHAnsi"/>
        </w:rPr>
        <w:t xml:space="preserve"> the CAS </w:t>
      </w:r>
      <w:r w:rsidR="539ED7E8" w:rsidRPr="008313ED">
        <w:rPr>
          <w:rFonts w:asciiTheme="minorHAnsi" w:hAnsiTheme="minorHAnsi"/>
        </w:rPr>
        <w:t xml:space="preserve">number available </w:t>
      </w:r>
      <w:r w:rsidR="23ED19A2" w:rsidRPr="008313ED">
        <w:rPr>
          <w:rFonts w:asciiTheme="minorHAnsi" w:hAnsiTheme="minorHAnsi"/>
        </w:rPr>
        <w:t>for mixed Xylenes</w:t>
      </w:r>
      <w:r w:rsidR="1D8D4318" w:rsidRPr="008313ED">
        <w:rPr>
          <w:rFonts w:asciiTheme="minorHAnsi" w:hAnsiTheme="minorHAnsi"/>
        </w:rPr>
        <w:t>.</w:t>
      </w:r>
    </w:p>
    <w:p w14:paraId="176FC811" w14:textId="77777777" w:rsidR="0070765C" w:rsidRPr="008313ED" w:rsidRDefault="0070765C" w:rsidP="0070765C">
      <w:pPr>
        <w:pStyle w:val="ListParagraph"/>
        <w:ind w:left="1080"/>
        <w:rPr>
          <w:rFonts w:asciiTheme="minorHAnsi" w:hAnsiTheme="minorHAnsi"/>
        </w:rPr>
      </w:pPr>
    </w:p>
    <w:p w14:paraId="207799DB" w14:textId="72F5636B" w:rsidR="0078510E" w:rsidRPr="008313ED" w:rsidRDefault="18082B86" w:rsidP="006B41F5">
      <w:pPr>
        <w:pStyle w:val="ListParagraph"/>
        <w:numPr>
          <w:ilvl w:val="0"/>
          <w:numId w:val="50"/>
        </w:numPr>
        <w:rPr>
          <w:rFonts w:asciiTheme="minorHAnsi" w:hAnsiTheme="minorHAnsi"/>
        </w:rPr>
      </w:pPr>
      <w:r w:rsidRPr="008313ED">
        <w:rPr>
          <w:rFonts w:asciiTheme="minorHAnsi" w:hAnsiTheme="minorHAnsi"/>
          <w:u w:val="single"/>
        </w:rPr>
        <w:t>Metal compounds</w:t>
      </w:r>
      <w:r w:rsidRPr="008313ED">
        <w:rPr>
          <w:rFonts w:asciiTheme="minorHAnsi" w:hAnsiTheme="minorHAnsi"/>
        </w:rPr>
        <w:t>:</w:t>
      </w:r>
      <w:r w:rsidR="68F06A76" w:rsidRPr="008313ED">
        <w:rPr>
          <w:rFonts w:asciiTheme="minorHAnsi" w:hAnsiTheme="minorHAnsi"/>
        </w:rPr>
        <w:t xml:space="preserve"> </w:t>
      </w:r>
      <w:r w:rsidR="04D8709B" w:rsidRPr="008313ED">
        <w:rPr>
          <w:rFonts w:asciiTheme="minorHAnsi" w:hAnsiTheme="minorHAnsi"/>
        </w:rPr>
        <w:t>I</w:t>
      </w:r>
      <w:r w:rsidR="41C34A0D" w:rsidRPr="008313ED">
        <w:rPr>
          <w:rFonts w:asciiTheme="minorHAnsi" w:hAnsiTheme="minorHAnsi"/>
        </w:rPr>
        <w:t xml:space="preserve">n some cases, the notation in the group header is used to </w:t>
      </w:r>
      <w:r w:rsidR="5D16F20E" w:rsidRPr="008313ED">
        <w:rPr>
          <w:rFonts w:asciiTheme="minorHAnsi" w:hAnsiTheme="minorHAnsi"/>
        </w:rPr>
        <w:t>convey</w:t>
      </w:r>
      <w:r w:rsidR="7CDF0F78" w:rsidRPr="008313ED">
        <w:rPr>
          <w:rFonts w:asciiTheme="minorHAnsi" w:hAnsiTheme="minorHAnsi"/>
        </w:rPr>
        <w:t xml:space="preserve"> </w:t>
      </w:r>
      <w:r w:rsidR="09C7B181" w:rsidRPr="008313ED">
        <w:rPr>
          <w:rFonts w:asciiTheme="minorHAnsi" w:hAnsiTheme="minorHAnsi"/>
        </w:rPr>
        <w:t>that</w:t>
      </w:r>
      <w:r w:rsidR="41C34A0D" w:rsidRPr="008313ED">
        <w:rPr>
          <w:rFonts w:asciiTheme="minorHAnsi" w:hAnsiTheme="minorHAnsi"/>
        </w:rPr>
        <w:t xml:space="preserve"> the reporting of the “metal atom equivalent” in a </w:t>
      </w:r>
      <w:r w:rsidR="1F4C4FDE" w:rsidRPr="008313ED">
        <w:rPr>
          <w:rFonts w:asciiTheme="minorHAnsi" w:hAnsiTheme="minorHAnsi"/>
        </w:rPr>
        <w:t xml:space="preserve">metal </w:t>
      </w:r>
      <w:r w:rsidR="7CDF0F78" w:rsidRPr="008313ED">
        <w:rPr>
          <w:rFonts w:asciiTheme="minorHAnsi" w:hAnsiTheme="minorHAnsi"/>
        </w:rPr>
        <w:t>compound</w:t>
      </w:r>
      <w:r w:rsidR="647D5917" w:rsidRPr="008313ED">
        <w:rPr>
          <w:rFonts w:asciiTheme="minorHAnsi" w:hAnsiTheme="minorHAnsi"/>
        </w:rPr>
        <w:t>’s overall weight</w:t>
      </w:r>
      <w:r w:rsidR="0322FF40" w:rsidRPr="008313ED">
        <w:rPr>
          <w:rFonts w:asciiTheme="minorHAnsi" w:hAnsiTheme="minorHAnsi"/>
        </w:rPr>
        <w:t xml:space="preserve"> is an appropriate way to apply</w:t>
      </w:r>
      <w:r w:rsidR="1BE3472A" w:rsidRPr="008313ED">
        <w:rPr>
          <w:rFonts w:asciiTheme="minorHAnsi" w:hAnsiTheme="minorHAnsi"/>
        </w:rPr>
        <w:t xml:space="preserve"> the OEHHA cancer potency value to metal-containing compounds.</w:t>
      </w:r>
      <w:r w:rsidR="0322FF40" w:rsidRPr="008313ED">
        <w:rPr>
          <w:rFonts w:asciiTheme="minorHAnsi" w:hAnsiTheme="minorHAnsi"/>
        </w:rPr>
        <w:t xml:space="preserve"> </w:t>
      </w:r>
      <w:r w:rsidR="54F93C1E" w:rsidRPr="008313ED">
        <w:rPr>
          <w:rFonts w:asciiTheme="minorHAnsi" w:hAnsiTheme="minorHAnsi"/>
        </w:rPr>
        <w:t xml:space="preserve"> </w:t>
      </w:r>
      <w:r w:rsidR="35988980" w:rsidRPr="008313ED">
        <w:rPr>
          <w:rFonts w:asciiTheme="minorHAnsi" w:hAnsiTheme="minorHAnsi"/>
        </w:rPr>
        <w:t>However, f</w:t>
      </w:r>
      <w:r w:rsidR="54F93C1E" w:rsidRPr="008313ED">
        <w:rPr>
          <w:rFonts w:asciiTheme="minorHAnsi" w:hAnsiTheme="minorHAnsi"/>
        </w:rPr>
        <w:t xml:space="preserve">or certain metals, </w:t>
      </w:r>
      <w:r w:rsidR="70F85581" w:rsidRPr="008313ED">
        <w:rPr>
          <w:rFonts w:asciiTheme="minorHAnsi" w:hAnsiTheme="minorHAnsi"/>
        </w:rPr>
        <w:t>further</w:t>
      </w:r>
      <w:r w:rsidR="14FC4034" w:rsidRPr="008313ED">
        <w:rPr>
          <w:rFonts w:asciiTheme="minorHAnsi" w:hAnsiTheme="minorHAnsi"/>
        </w:rPr>
        <w:t xml:space="preserve"> </w:t>
      </w:r>
      <w:r w:rsidR="54F93C1E" w:rsidRPr="008313ED">
        <w:rPr>
          <w:rFonts w:asciiTheme="minorHAnsi" w:hAnsiTheme="minorHAnsi"/>
        </w:rPr>
        <w:t xml:space="preserve">separate subgroups are maintained </w:t>
      </w:r>
      <w:proofErr w:type="gramStart"/>
      <w:r w:rsidR="11E1D42D" w:rsidRPr="008313ED">
        <w:rPr>
          <w:rFonts w:asciiTheme="minorHAnsi" w:hAnsiTheme="minorHAnsi"/>
        </w:rPr>
        <w:t>in order to</w:t>
      </w:r>
      <w:proofErr w:type="gramEnd"/>
      <w:r w:rsidR="54F93C1E" w:rsidRPr="008313ED">
        <w:rPr>
          <w:rFonts w:asciiTheme="minorHAnsi" w:hAnsiTheme="minorHAnsi"/>
        </w:rPr>
        <w:t xml:space="preserve"> </w:t>
      </w:r>
      <w:proofErr w:type="gramStart"/>
      <w:r w:rsidR="54F93C1E" w:rsidRPr="008313ED">
        <w:rPr>
          <w:rFonts w:asciiTheme="minorHAnsi" w:hAnsiTheme="minorHAnsi"/>
        </w:rPr>
        <w:t>match to</w:t>
      </w:r>
      <w:proofErr w:type="gramEnd"/>
      <w:r w:rsidR="54F93C1E" w:rsidRPr="008313ED">
        <w:rPr>
          <w:rFonts w:asciiTheme="minorHAnsi" w:hAnsiTheme="minorHAnsi"/>
        </w:rPr>
        <w:t xml:space="preserve"> OEHHA’s health values</w:t>
      </w:r>
      <w:r w:rsidR="1C6966BF" w:rsidRPr="008313ED">
        <w:rPr>
          <w:rFonts w:asciiTheme="minorHAnsi" w:hAnsiTheme="minorHAnsi"/>
        </w:rPr>
        <w:t xml:space="preserve">.  One example is </w:t>
      </w:r>
      <w:r w:rsidR="54F93C1E" w:rsidRPr="008313ED">
        <w:rPr>
          <w:rFonts w:asciiTheme="minorHAnsi" w:hAnsiTheme="minorHAnsi"/>
        </w:rPr>
        <w:t>the separation of Cobalt-containing compou</w:t>
      </w:r>
      <w:r w:rsidR="0BF328C6" w:rsidRPr="008313ED">
        <w:rPr>
          <w:rFonts w:asciiTheme="minorHAnsi" w:hAnsiTheme="minorHAnsi"/>
        </w:rPr>
        <w:t>nds into “soluble” vs. “insoluble” due to differing OEHHA health values</w:t>
      </w:r>
      <w:r w:rsidR="5B64A0DB" w:rsidRPr="008313ED">
        <w:rPr>
          <w:rFonts w:asciiTheme="minorHAnsi" w:hAnsiTheme="minorHAnsi"/>
        </w:rPr>
        <w:t xml:space="preserve"> </w:t>
      </w:r>
      <w:r w:rsidR="41449CB3" w:rsidRPr="008313ED">
        <w:rPr>
          <w:rFonts w:asciiTheme="minorHAnsi" w:hAnsiTheme="minorHAnsi"/>
        </w:rPr>
        <w:t xml:space="preserve">for </w:t>
      </w:r>
      <w:r w:rsidR="5B64A0DB" w:rsidRPr="008313ED">
        <w:rPr>
          <w:rFonts w:asciiTheme="minorHAnsi" w:hAnsiTheme="minorHAnsi"/>
        </w:rPr>
        <w:t>those forms</w:t>
      </w:r>
      <w:r w:rsidR="0BF328C6" w:rsidRPr="008313ED">
        <w:rPr>
          <w:rFonts w:asciiTheme="minorHAnsi" w:hAnsiTheme="minorHAnsi"/>
        </w:rPr>
        <w:t>.</w:t>
      </w:r>
      <w:r w:rsidR="642F1861" w:rsidRPr="008313ED">
        <w:rPr>
          <w:rFonts w:asciiTheme="minorHAnsi" w:hAnsiTheme="minorHAnsi"/>
        </w:rPr>
        <w:t xml:space="preserve"> </w:t>
      </w:r>
      <w:r w:rsidR="0027C93F" w:rsidRPr="008313ED">
        <w:rPr>
          <w:rFonts w:asciiTheme="minorHAnsi" w:hAnsiTheme="minorHAnsi"/>
        </w:rPr>
        <w:t>O</w:t>
      </w:r>
      <w:r w:rsidR="642F1861" w:rsidRPr="008313ED">
        <w:rPr>
          <w:rFonts w:asciiTheme="minorHAnsi" w:hAnsiTheme="minorHAnsi"/>
        </w:rPr>
        <w:t>ther example</w:t>
      </w:r>
      <w:r w:rsidR="30147DD3" w:rsidRPr="008313ED">
        <w:rPr>
          <w:rFonts w:asciiTheme="minorHAnsi" w:hAnsiTheme="minorHAnsi"/>
        </w:rPr>
        <w:t>s include</w:t>
      </w:r>
      <w:r w:rsidR="642F1861" w:rsidRPr="008313ED">
        <w:rPr>
          <w:rFonts w:asciiTheme="minorHAnsi" w:hAnsiTheme="minorHAnsi"/>
        </w:rPr>
        <w:t xml:space="preserve"> the separation of “inorganic”</w:t>
      </w:r>
      <w:r w:rsidR="4FE39620" w:rsidRPr="008313ED">
        <w:rPr>
          <w:rFonts w:asciiTheme="minorHAnsi" w:hAnsiTheme="minorHAnsi"/>
        </w:rPr>
        <w:t xml:space="preserve"> forms of</w:t>
      </w:r>
      <w:r w:rsidR="642F1861" w:rsidRPr="008313ED">
        <w:rPr>
          <w:rFonts w:asciiTheme="minorHAnsi" w:hAnsiTheme="minorHAnsi"/>
        </w:rPr>
        <w:t xml:space="preserve"> Arsenic compounds,</w:t>
      </w:r>
      <w:r w:rsidR="662F2C36" w:rsidRPr="008313ED">
        <w:rPr>
          <w:rFonts w:asciiTheme="minorHAnsi" w:hAnsiTheme="minorHAnsi"/>
        </w:rPr>
        <w:t xml:space="preserve"> and the separation of the hexavalent forms of Chromium, because these are the forms</w:t>
      </w:r>
      <w:r w:rsidR="6095FF3B" w:rsidRPr="008313ED">
        <w:rPr>
          <w:rFonts w:asciiTheme="minorHAnsi" w:hAnsiTheme="minorHAnsi"/>
        </w:rPr>
        <w:t xml:space="preserve"> that correspond to the OEHHA health values.</w:t>
      </w:r>
    </w:p>
    <w:p w14:paraId="668892E0" w14:textId="77777777" w:rsidR="0078510E" w:rsidRPr="008313ED" w:rsidRDefault="0078510E" w:rsidP="0078510E">
      <w:pPr>
        <w:pStyle w:val="ListParagraph"/>
        <w:ind w:left="1080"/>
        <w:rPr>
          <w:rFonts w:asciiTheme="minorHAnsi" w:hAnsiTheme="minorHAnsi"/>
        </w:rPr>
      </w:pPr>
    </w:p>
    <w:p w14:paraId="03156EB8" w14:textId="2DA1BC31" w:rsidR="00240684" w:rsidRPr="008313ED" w:rsidRDefault="29E609DF" w:rsidP="00AB07DF">
      <w:pPr>
        <w:pStyle w:val="ListParagraph"/>
        <w:numPr>
          <w:ilvl w:val="0"/>
          <w:numId w:val="50"/>
        </w:numPr>
        <w:rPr>
          <w:rFonts w:asciiTheme="minorHAnsi" w:hAnsiTheme="minorHAnsi"/>
        </w:rPr>
      </w:pPr>
      <w:r w:rsidRPr="008313ED">
        <w:rPr>
          <w:rFonts w:asciiTheme="minorHAnsi" w:hAnsiTheme="minorHAnsi"/>
          <w:u w:val="single"/>
        </w:rPr>
        <w:t>Contextual group headers</w:t>
      </w:r>
      <w:r w:rsidRPr="008313ED">
        <w:rPr>
          <w:rFonts w:asciiTheme="minorHAnsi" w:hAnsiTheme="minorHAnsi"/>
        </w:rPr>
        <w:t xml:space="preserve">: </w:t>
      </w:r>
      <w:r w:rsidR="22707CF7" w:rsidRPr="008313ED">
        <w:rPr>
          <w:rFonts w:asciiTheme="minorHAnsi" w:hAnsiTheme="minorHAnsi"/>
        </w:rPr>
        <w:t>I</w:t>
      </w:r>
      <w:r w:rsidR="7CDF0F78" w:rsidRPr="008313ED">
        <w:rPr>
          <w:rFonts w:asciiTheme="minorHAnsi" w:hAnsiTheme="minorHAnsi"/>
        </w:rPr>
        <w:t>n</w:t>
      </w:r>
      <w:r w:rsidR="41C34A0D" w:rsidRPr="008313ED">
        <w:rPr>
          <w:rFonts w:asciiTheme="minorHAnsi" w:hAnsiTheme="minorHAnsi"/>
        </w:rPr>
        <w:t xml:space="preserve"> other cases, the group header is not reportable, but rather serves as a convenience header to provide </w:t>
      </w:r>
      <w:r w:rsidR="0F51CBA9" w:rsidRPr="008313ED">
        <w:rPr>
          <w:rFonts w:asciiTheme="minorHAnsi" w:hAnsiTheme="minorHAnsi"/>
        </w:rPr>
        <w:t>organization</w:t>
      </w:r>
      <w:r w:rsidR="611393AC" w:rsidRPr="008313ED">
        <w:rPr>
          <w:rFonts w:asciiTheme="minorHAnsi" w:hAnsiTheme="minorHAnsi"/>
        </w:rPr>
        <w:t>,</w:t>
      </w:r>
      <w:r w:rsidR="0F51CBA9" w:rsidRPr="008313ED">
        <w:rPr>
          <w:rFonts w:asciiTheme="minorHAnsi" w:hAnsiTheme="minorHAnsi"/>
        </w:rPr>
        <w:t xml:space="preserve"> </w:t>
      </w:r>
      <w:r w:rsidR="7CDF0F78" w:rsidRPr="008313ED">
        <w:rPr>
          <w:rFonts w:asciiTheme="minorHAnsi" w:hAnsiTheme="minorHAnsi"/>
        </w:rPr>
        <w:t>context</w:t>
      </w:r>
      <w:r w:rsidR="23409302" w:rsidRPr="008313ED">
        <w:rPr>
          <w:rFonts w:asciiTheme="minorHAnsi" w:hAnsiTheme="minorHAnsi"/>
        </w:rPr>
        <w:t>,</w:t>
      </w:r>
      <w:r w:rsidR="41C34A0D" w:rsidRPr="008313ED">
        <w:rPr>
          <w:rFonts w:asciiTheme="minorHAnsi" w:hAnsiTheme="minorHAnsi"/>
        </w:rPr>
        <w:t xml:space="preserve"> and clarity to the </w:t>
      </w:r>
      <w:r w:rsidR="619F79CB" w:rsidRPr="008313ED">
        <w:rPr>
          <w:rFonts w:asciiTheme="minorHAnsi" w:hAnsiTheme="minorHAnsi"/>
        </w:rPr>
        <w:t>chemically</w:t>
      </w:r>
      <w:r w:rsidR="7CDF0F78" w:rsidRPr="008313ED">
        <w:rPr>
          <w:rFonts w:asciiTheme="minorHAnsi" w:hAnsiTheme="minorHAnsi"/>
        </w:rPr>
        <w:t xml:space="preserve"> </w:t>
      </w:r>
      <w:r w:rsidR="41C34A0D" w:rsidRPr="008313ED">
        <w:rPr>
          <w:rFonts w:asciiTheme="minorHAnsi" w:hAnsiTheme="minorHAnsi"/>
        </w:rPr>
        <w:t>related substances in the group</w:t>
      </w:r>
      <w:r w:rsidR="1221574F" w:rsidRPr="008313ED">
        <w:rPr>
          <w:rFonts w:asciiTheme="minorHAnsi" w:hAnsiTheme="minorHAnsi"/>
        </w:rPr>
        <w:t xml:space="preserve">, </w:t>
      </w:r>
      <w:r w:rsidR="56F7AFD5" w:rsidRPr="008313ED">
        <w:rPr>
          <w:rFonts w:asciiTheme="minorHAnsi" w:hAnsiTheme="minorHAnsi"/>
        </w:rPr>
        <w:t>while still maintaining</w:t>
      </w:r>
      <w:r w:rsidR="7CDF0F78" w:rsidRPr="008313ED">
        <w:rPr>
          <w:rFonts w:asciiTheme="minorHAnsi" w:hAnsiTheme="minorHAnsi"/>
        </w:rPr>
        <w:t xml:space="preserve"> that </w:t>
      </w:r>
      <w:r w:rsidR="639EF9F2" w:rsidRPr="008313ED">
        <w:rPr>
          <w:rFonts w:asciiTheme="minorHAnsi" w:hAnsiTheme="minorHAnsi"/>
        </w:rPr>
        <w:t xml:space="preserve">the individual substances </w:t>
      </w:r>
      <w:r w:rsidR="41C34A0D" w:rsidRPr="008313ED">
        <w:rPr>
          <w:rFonts w:asciiTheme="minorHAnsi" w:hAnsiTheme="minorHAnsi"/>
        </w:rPr>
        <w:t xml:space="preserve">are intended to be individually reportable. </w:t>
      </w:r>
      <w:r w:rsidR="55F7F3A5" w:rsidRPr="008313ED">
        <w:rPr>
          <w:rFonts w:asciiTheme="minorHAnsi" w:hAnsiTheme="minorHAnsi"/>
        </w:rPr>
        <w:t>Examples of this</w:t>
      </w:r>
      <w:r w:rsidR="1659462F" w:rsidRPr="008313ED">
        <w:rPr>
          <w:rFonts w:asciiTheme="minorHAnsi" w:hAnsiTheme="minorHAnsi"/>
        </w:rPr>
        <w:t xml:space="preserve"> include the</w:t>
      </w:r>
      <w:r w:rsidR="3455155B" w:rsidRPr="008313ED">
        <w:rPr>
          <w:rFonts w:asciiTheme="minorHAnsi" w:hAnsiTheme="minorHAnsi"/>
        </w:rPr>
        <w:t xml:space="preserve"> </w:t>
      </w:r>
      <w:r w:rsidR="449B7AB4" w:rsidRPr="008313ED">
        <w:rPr>
          <w:rFonts w:asciiTheme="minorHAnsi" w:hAnsiTheme="minorHAnsi"/>
        </w:rPr>
        <w:t xml:space="preserve">contextual </w:t>
      </w:r>
      <w:r w:rsidR="3455155B" w:rsidRPr="008313ED">
        <w:rPr>
          <w:rFonts w:asciiTheme="minorHAnsi" w:hAnsiTheme="minorHAnsi"/>
        </w:rPr>
        <w:t>group headers for</w:t>
      </w:r>
      <w:r w:rsidR="1659462F" w:rsidRPr="008313ED">
        <w:rPr>
          <w:rFonts w:asciiTheme="minorHAnsi" w:hAnsiTheme="minorHAnsi"/>
        </w:rPr>
        <w:t xml:space="preserve"> Glycol </w:t>
      </w:r>
      <w:r w:rsidR="4DAAB9F5" w:rsidRPr="008313ED">
        <w:rPr>
          <w:rFonts w:asciiTheme="minorHAnsi" w:hAnsiTheme="minorHAnsi"/>
        </w:rPr>
        <w:t>E</w:t>
      </w:r>
      <w:r w:rsidR="1659462F" w:rsidRPr="008313ED">
        <w:rPr>
          <w:rFonts w:asciiTheme="minorHAnsi" w:hAnsiTheme="minorHAnsi"/>
        </w:rPr>
        <w:t>thers</w:t>
      </w:r>
      <w:r w:rsidR="714ECCA5" w:rsidRPr="008313ED">
        <w:rPr>
          <w:rFonts w:asciiTheme="minorHAnsi" w:hAnsiTheme="minorHAnsi"/>
        </w:rPr>
        <w:t xml:space="preserve">, </w:t>
      </w:r>
      <w:r w:rsidR="5CB3767A" w:rsidRPr="008313ED">
        <w:rPr>
          <w:rFonts w:asciiTheme="minorHAnsi" w:hAnsiTheme="minorHAnsi"/>
        </w:rPr>
        <w:t>numerous</w:t>
      </w:r>
      <w:r w:rsidR="714ECCA5" w:rsidRPr="008313ED">
        <w:rPr>
          <w:rFonts w:asciiTheme="minorHAnsi" w:hAnsiTheme="minorHAnsi"/>
        </w:rPr>
        <w:t xml:space="preserve"> PFAS</w:t>
      </w:r>
      <w:r w:rsidR="40EC2679" w:rsidRPr="008313ED">
        <w:rPr>
          <w:rFonts w:asciiTheme="minorHAnsi" w:hAnsiTheme="minorHAnsi"/>
        </w:rPr>
        <w:t xml:space="preserve"> chemicals</w:t>
      </w:r>
      <w:r w:rsidR="150B635F" w:rsidRPr="008313ED">
        <w:rPr>
          <w:rFonts w:asciiTheme="minorHAnsi" w:hAnsiTheme="minorHAnsi"/>
        </w:rPr>
        <w:t xml:space="preserve">, </w:t>
      </w:r>
      <w:r w:rsidR="7990F693" w:rsidRPr="008313ED">
        <w:rPr>
          <w:rFonts w:asciiTheme="minorHAnsi" w:hAnsiTheme="minorHAnsi"/>
        </w:rPr>
        <w:t>Polycyclic Aromatic Hydrocarbons (PAH</w:t>
      </w:r>
      <w:r w:rsidR="2D176AAC" w:rsidRPr="008313ED">
        <w:rPr>
          <w:rFonts w:asciiTheme="minorHAnsi" w:hAnsiTheme="minorHAnsi"/>
        </w:rPr>
        <w:t>s</w:t>
      </w:r>
      <w:r w:rsidR="7990F693" w:rsidRPr="008313ED">
        <w:rPr>
          <w:rFonts w:asciiTheme="minorHAnsi" w:hAnsiTheme="minorHAnsi"/>
        </w:rPr>
        <w:t>)</w:t>
      </w:r>
      <w:r w:rsidR="4FDE224B" w:rsidRPr="008313ED">
        <w:rPr>
          <w:rFonts w:asciiTheme="minorHAnsi" w:hAnsiTheme="minorHAnsi"/>
        </w:rPr>
        <w:t>, and Methyl PAH</w:t>
      </w:r>
      <w:r w:rsidR="200DED44" w:rsidRPr="008313ED">
        <w:rPr>
          <w:rFonts w:asciiTheme="minorHAnsi" w:hAnsiTheme="minorHAnsi"/>
        </w:rPr>
        <w:t>s</w:t>
      </w:r>
      <w:r w:rsidR="714ECCA5" w:rsidRPr="008313ED">
        <w:rPr>
          <w:rFonts w:asciiTheme="minorHAnsi" w:hAnsiTheme="minorHAnsi"/>
        </w:rPr>
        <w:t>.</w:t>
      </w:r>
      <w:r w:rsidR="7CDF0F78" w:rsidRPr="008313ED">
        <w:rPr>
          <w:rFonts w:asciiTheme="minorHAnsi" w:hAnsiTheme="minorHAnsi"/>
        </w:rPr>
        <w:t xml:space="preserve"> </w:t>
      </w:r>
      <w:r w:rsidR="7F561FD8" w:rsidRPr="008313ED">
        <w:rPr>
          <w:rFonts w:asciiTheme="minorHAnsi" w:hAnsiTheme="minorHAnsi"/>
        </w:rPr>
        <w:t>In some of these cases, Appendix A lists the same c</w:t>
      </w:r>
      <w:r w:rsidR="5592C455" w:rsidRPr="008313ED">
        <w:rPr>
          <w:rFonts w:asciiTheme="minorHAnsi" w:hAnsiTheme="minorHAnsi"/>
        </w:rPr>
        <w:t>hemical</w:t>
      </w:r>
      <w:r w:rsidR="7F561FD8" w:rsidRPr="008313ED">
        <w:rPr>
          <w:rFonts w:asciiTheme="minorHAnsi" w:hAnsiTheme="minorHAnsi"/>
        </w:rPr>
        <w:t xml:space="preserve"> in two places: once alphabetically by name, and once within the overarching group</w:t>
      </w:r>
      <w:r w:rsidR="0B94B95C" w:rsidRPr="008313ED">
        <w:rPr>
          <w:rFonts w:asciiTheme="minorHAnsi" w:hAnsiTheme="minorHAnsi"/>
        </w:rPr>
        <w:t>. This was done</w:t>
      </w:r>
      <w:r w:rsidR="5A5966F3" w:rsidRPr="008313ED">
        <w:rPr>
          <w:rFonts w:asciiTheme="minorHAnsi" w:hAnsiTheme="minorHAnsi"/>
        </w:rPr>
        <w:t xml:space="preserve"> to </w:t>
      </w:r>
      <w:r w:rsidR="1B044076" w:rsidRPr="008313ED">
        <w:rPr>
          <w:rFonts w:asciiTheme="minorHAnsi" w:hAnsiTheme="minorHAnsi"/>
        </w:rPr>
        <w:t xml:space="preserve">better </w:t>
      </w:r>
      <w:r w:rsidR="5A5966F3" w:rsidRPr="008313ED">
        <w:rPr>
          <w:rFonts w:asciiTheme="minorHAnsi" w:hAnsiTheme="minorHAnsi"/>
        </w:rPr>
        <w:t>assist facility operators who might look for the chemical in either place within the Appendix A list</w:t>
      </w:r>
      <w:r w:rsidR="73389DAD" w:rsidRPr="008313ED">
        <w:rPr>
          <w:rFonts w:asciiTheme="minorHAnsi" w:hAnsiTheme="minorHAnsi"/>
        </w:rPr>
        <w:t xml:space="preserve"> and a</w:t>
      </w:r>
      <w:r w:rsidR="4DF009DD" w:rsidRPr="008313ED">
        <w:rPr>
          <w:rFonts w:asciiTheme="minorHAnsi" w:hAnsiTheme="minorHAnsi"/>
        </w:rPr>
        <w:t xml:space="preserve"> cross-reference notation is used in those cases.</w:t>
      </w:r>
    </w:p>
    <w:p w14:paraId="2613843E" w14:textId="77777777" w:rsidR="00673D83" w:rsidRPr="008313ED" w:rsidRDefault="00673D83" w:rsidP="00673D83">
      <w:pPr>
        <w:pStyle w:val="ListParagraph"/>
        <w:ind w:left="1080"/>
        <w:rPr>
          <w:rFonts w:asciiTheme="minorHAnsi" w:hAnsiTheme="minorHAnsi"/>
        </w:rPr>
      </w:pPr>
    </w:p>
    <w:p w14:paraId="25DC37BE" w14:textId="17B790D3" w:rsidR="00240684" w:rsidRPr="008313ED" w:rsidRDefault="46325B58" w:rsidP="00AB07DF">
      <w:pPr>
        <w:pStyle w:val="ListParagraph"/>
        <w:numPr>
          <w:ilvl w:val="0"/>
          <w:numId w:val="50"/>
        </w:numPr>
        <w:rPr>
          <w:rFonts w:asciiTheme="minorHAnsi" w:hAnsiTheme="minorHAnsi"/>
        </w:rPr>
      </w:pPr>
      <w:r w:rsidRPr="008313ED">
        <w:rPr>
          <w:rFonts w:asciiTheme="minorHAnsi" w:hAnsiTheme="minorHAnsi"/>
          <w:u w:val="single"/>
        </w:rPr>
        <w:t>Chemical functional groups</w:t>
      </w:r>
      <w:r w:rsidRPr="008313ED">
        <w:rPr>
          <w:rFonts w:asciiTheme="minorHAnsi" w:hAnsiTheme="minorHAnsi"/>
        </w:rPr>
        <w:t>:</w:t>
      </w:r>
      <w:r w:rsidR="27132DDF" w:rsidRPr="008313ED">
        <w:rPr>
          <w:rFonts w:asciiTheme="minorHAnsi" w:hAnsiTheme="minorHAnsi"/>
        </w:rPr>
        <w:t xml:space="preserve"> To</w:t>
      </w:r>
      <w:r w:rsidR="41C34A0D" w:rsidRPr="008313ED">
        <w:rPr>
          <w:rFonts w:asciiTheme="minorHAnsi" w:hAnsiTheme="minorHAnsi"/>
        </w:rPr>
        <w:t xml:space="preserve"> address the ever evolving and emerging chemicals in several important categories, the most recent EICG amendments have added a new concept regarding chemical “functional group” classes on the Appendix A list</w:t>
      </w:r>
      <w:r w:rsidR="3E282749" w:rsidRPr="008313ED">
        <w:rPr>
          <w:rFonts w:asciiTheme="minorHAnsi" w:hAnsiTheme="minorHAnsi"/>
        </w:rPr>
        <w:t xml:space="preserve">. </w:t>
      </w:r>
      <w:r w:rsidR="484F4ACF" w:rsidRPr="008313ED">
        <w:rPr>
          <w:rFonts w:asciiTheme="minorHAnsi" w:hAnsiTheme="minorHAnsi"/>
        </w:rPr>
        <w:t>To date, three broad functional group classes have been defined</w:t>
      </w:r>
      <w:r w:rsidR="42E97D92" w:rsidRPr="008313ED">
        <w:rPr>
          <w:rFonts w:asciiTheme="minorHAnsi" w:hAnsiTheme="minorHAnsi"/>
        </w:rPr>
        <w:t>:</w:t>
      </w:r>
      <w:r w:rsidR="484F4ACF" w:rsidRPr="008313ED">
        <w:rPr>
          <w:rFonts w:asciiTheme="minorHAnsi" w:hAnsiTheme="minorHAnsi"/>
        </w:rPr>
        <w:t xml:space="preserve"> for isocyanate-related</w:t>
      </w:r>
      <w:r w:rsidR="643E907F" w:rsidRPr="008313ED">
        <w:rPr>
          <w:rFonts w:asciiTheme="minorHAnsi" w:hAnsiTheme="minorHAnsi"/>
        </w:rPr>
        <w:t xml:space="preserve"> substances</w:t>
      </w:r>
      <w:r w:rsidR="484F4ACF" w:rsidRPr="008313ED">
        <w:rPr>
          <w:rFonts w:asciiTheme="minorHAnsi" w:hAnsiTheme="minorHAnsi"/>
        </w:rPr>
        <w:t>, halogenated PAH</w:t>
      </w:r>
      <w:r w:rsidR="33D0130A" w:rsidRPr="008313ED">
        <w:rPr>
          <w:rFonts w:asciiTheme="minorHAnsi" w:hAnsiTheme="minorHAnsi"/>
        </w:rPr>
        <w:t>-related substances</w:t>
      </w:r>
      <w:r w:rsidR="484F4ACF" w:rsidRPr="008313ED">
        <w:rPr>
          <w:rFonts w:asciiTheme="minorHAnsi" w:hAnsiTheme="minorHAnsi"/>
        </w:rPr>
        <w:t>, and several subclasses of PFAS</w:t>
      </w:r>
      <w:r w:rsidR="12AB14D3" w:rsidRPr="008313ED">
        <w:rPr>
          <w:rFonts w:asciiTheme="minorHAnsi" w:hAnsiTheme="minorHAnsi"/>
        </w:rPr>
        <w:t xml:space="preserve">-related </w:t>
      </w:r>
      <w:r w:rsidR="6AA077EA" w:rsidRPr="008313ED">
        <w:rPr>
          <w:rFonts w:asciiTheme="minorHAnsi" w:hAnsiTheme="minorHAnsi"/>
        </w:rPr>
        <w:t>substances</w:t>
      </w:r>
      <w:r w:rsidR="12AB14D3" w:rsidRPr="008313ED">
        <w:rPr>
          <w:rFonts w:asciiTheme="minorHAnsi" w:hAnsiTheme="minorHAnsi"/>
        </w:rPr>
        <w:t>.</w:t>
      </w:r>
      <w:r w:rsidR="3A11B926" w:rsidRPr="008313ED">
        <w:rPr>
          <w:rFonts w:asciiTheme="minorHAnsi" w:hAnsiTheme="minorHAnsi"/>
        </w:rPr>
        <w:t xml:space="preserve"> Any chemical containing the “functional group” </w:t>
      </w:r>
      <w:r w:rsidR="3E282749" w:rsidRPr="008313ED">
        <w:rPr>
          <w:rFonts w:asciiTheme="minorHAnsi" w:hAnsiTheme="minorHAnsi"/>
        </w:rPr>
        <w:t>is</w:t>
      </w:r>
      <w:r w:rsidR="3A11B926" w:rsidRPr="008313ED">
        <w:rPr>
          <w:rFonts w:asciiTheme="minorHAnsi" w:hAnsiTheme="minorHAnsi"/>
        </w:rPr>
        <w:t xml:space="preserve"> included in the Appendix A</w:t>
      </w:r>
      <w:r w:rsidR="4EC1B9D5" w:rsidRPr="008313ED">
        <w:rPr>
          <w:rFonts w:asciiTheme="minorHAnsi" w:hAnsiTheme="minorHAnsi"/>
        </w:rPr>
        <w:t xml:space="preserve"> list of reportable substances.</w:t>
      </w:r>
      <w:r w:rsidR="3E282749" w:rsidRPr="008313ED">
        <w:rPr>
          <w:rFonts w:asciiTheme="minorHAnsi" w:hAnsiTheme="minorHAnsi"/>
        </w:rPr>
        <w:t xml:space="preserve"> Please see the </w:t>
      </w:r>
      <w:r w:rsidR="00251F01" w:rsidRPr="008313ED">
        <w:rPr>
          <w:rFonts w:asciiTheme="minorHAnsi" w:hAnsiTheme="minorHAnsi"/>
          <w:color w:val="4F81BD" w:themeColor="accent1"/>
        </w:rPr>
        <w:fldChar w:fldCharType="begin"/>
      </w:r>
      <w:r w:rsidR="00251F01" w:rsidRPr="008313ED">
        <w:rPr>
          <w:rFonts w:asciiTheme="minorHAnsi" w:hAnsiTheme="minorHAnsi"/>
          <w:color w:val="4F81BD" w:themeColor="accent1"/>
        </w:rPr>
        <w:instrText xml:space="preserve"> REF _Ref151104250 \h </w:instrText>
      </w:r>
      <w:r w:rsidR="00251F01" w:rsidRPr="008313ED">
        <w:rPr>
          <w:rFonts w:asciiTheme="minorHAnsi" w:hAnsiTheme="minorHAnsi"/>
          <w:color w:val="4F81BD" w:themeColor="accent1"/>
        </w:rPr>
      </w:r>
      <w:r w:rsidR="008313ED">
        <w:rPr>
          <w:rFonts w:asciiTheme="minorHAnsi" w:hAnsiTheme="minorHAnsi"/>
          <w:color w:val="4F81BD" w:themeColor="accent1"/>
        </w:rPr>
        <w:instrText xml:space="preserve"> \* MERGEFORMAT </w:instrText>
      </w:r>
      <w:r w:rsidR="00251F01" w:rsidRPr="008313ED">
        <w:rPr>
          <w:rFonts w:asciiTheme="minorHAnsi" w:hAnsiTheme="minorHAnsi"/>
          <w:color w:val="4F81BD" w:themeColor="accent1"/>
        </w:rPr>
        <w:fldChar w:fldCharType="separate"/>
      </w:r>
      <w:r w:rsidR="3E282749" w:rsidRPr="008313ED">
        <w:rPr>
          <w:rFonts w:asciiTheme="minorHAnsi" w:hAnsiTheme="minorHAnsi"/>
          <w:color w:val="4F81BD" w:themeColor="accent1"/>
        </w:rPr>
        <w:t>Functional Groups</w:t>
      </w:r>
      <w:r w:rsidR="00251F01" w:rsidRPr="008313ED">
        <w:rPr>
          <w:rFonts w:asciiTheme="minorHAnsi" w:hAnsiTheme="minorHAnsi"/>
          <w:color w:val="4F81BD" w:themeColor="accent1"/>
        </w:rPr>
        <w:fldChar w:fldCharType="end"/>
      </w:r>
      <w:r w:rsidR="3E282749" w:rsidRPr="008313ED">
        <w:rPr>
          <w:rFonts w:asciiTheme="minorHAnsi" w:hAnsiTheme="minorHAnsi"/>
        </w:rPr>
        <w:t xml:space="preserve"> FAQ section for more details</w:t>
      </w:r>
    </w:p>
    <w:p w14:paraId="68E2B3C1" w14:textId="31C4129B" w:rsidR="13454CB1" w:rsidRPr="008313ED" w:rsidRDefault="00240684" w:rsidP="13454CB1">
      <w:pPr>
        <w:rPr>
          <w:rFonts w:asciiTheme="minorHAnsi" w:hAnsiTheme="minorHAnsi"/>
        </w:rPr>
      </w:pPr>
      <w:r w:rsidRPr="008313ED">
        <w:rPr>
          <w:rFonts w:asciiTheme="minorHAnsi" w:hAnsiTheme="minorHAnsi"/>
        </w:rPr>
        <w:t>CARB staff coordinates closely with the Office of Environmental Health Hazard Assessment (OEHHA) in developing appropriate use of the various groups and headers</w:t>
      </w:r>
      <w:r w:rsidR="3CA4622E" w:rsidRPr="008313ED">
        <w:rPr>
          <w:rFonts w:asciiTheme="minorHAnsi" w:hAnsiTheme="minorHAnsi"/>
        </w:rPr>
        <w:t xml:space="preserve"> to ensure proper </w:t>
      </w:r>
      <w:r w:rsidR="7DFF7CFC" w:rsidRPr="008313ED">
        <w:rPr>
          <w:rFonts w:asciiTheme="minorHAnsi" w:hAnsiTheme="minorHAnsi"/>
        </w:rPr>
        <w:t xml:space="preserve">alignment of the groups with available information on </w:t>
      </w:r>
      <w:r w:rsidR="3C359984" w:rsidRPr="008313ED">
        <w:rPr>
          <w:rFonts w:asciiTheme="minorHAnsi" w:hAnsiTheme="minorHAnsi"/>
        </w:rPr>
        <w:t>ca</w:t>
      </w:r>
      <w:r w:rsidR="3CA4622E" w:rsidRPr="008313ED">
        <w:rPr>
          <w:rFonts w:asciiTheme="minorHAnsi" w:hAnsiTheme="minorHAnsi"/>
        </w:rPr>
        <w:t xml:space="preserve">ncer and </w:t>
      </w:r>
      <w:proofErr w:type="gramStart"/>
      <w:r w:rsidR="3CA4622E" w:rsidRPr="008313ED">
        <w:rPr>
          <w:rFonts w:asciiTheme="minorHAnsi" w:hAnsiTheme="minorHAnsi"/>
        </w:rPr>
        <w:t>noncancer</w:t>
      </w:r>
      <w:proofErr w:type="gramEnd"/>
      <w:r w:rsidR="3CA4622E" w:rsidRPr="008313ED">
        <w:rPr>
          <w:rFonts w:asciiTheme="minorHAnsi" w:hAnsiTheme="minorHAnsi"/>
        </w:rPr>
        <w:t xml:space="preserve"> health </w:t>
      </w:r>
      <w:r w:rsidR="520A28D5" w:rsidRPr="008313ED">
        <w:rPr>
          <w:rFonts w:asciiTheme="minorHAnsi" w:hAnsiTheme="minorHAnsi"/>
        </w:rPr>
        <w:t>effects</w:t>
      </w:r>
      <w:r w:rsidR="102EF77A" w:rsidRPr="008313ED">
        <w:rPr>
          <w:rFonts w:asciiTheme="minorHAnsi" w:hAnsiTheme="minorHAnsi"/>
        </w:rPr>
        <w:t xml:space="preserve">. </w:t>
      </w:r>
    </w:p>
    <w:p w14:paraId="4C2928F9" w14:textId="512F70DB" w:rsidR="00240684" w:rsidRPr="008313ED" w:rsidRDefault="0E0EDD9E" w:rsidP="00753826">
      <w:pPr>
        <w:pStyle w:val="Heading3"/>
        <w:rPr>
          <w:rFonts w:asciiTheme="minorHAnsi" w:hAnsiTheme="minorHAnsi"/>
        </w:rPr>
      </w:pPr>
      <w:bookmarkStart w:id="45" w:name="_Toc187305877"/>
      <w:r w:rsidRPr="008313ED">
        <w:rPr>
          <w:rFonts w:asciiTheme="minorHAnsi" w:hAnsiTheme="minorHAnsi"/>
        </w:rPr>
        <w:t xml:space="preserve">What is </w:t>
      </w:r>
      <w:r w:rsidR="00515FE0" w:rsidRPr="008313ED">
        <w:rPr>
          <w:rFonts w:asciiTheme="minorHAnsi" w:hAnsiTheme="minorHAnsi"/>
        </w:rPr>
        <w:t xml:space="preserve">the </w:t>
      </w:r>
      <w:r w:rsidRPr="008313ED">
        <w:rPr>
          <w:rFonts w:asciiTheme="minorHAnsi" w:hAnsiTheme="minorHAnsi"/>
        </w:rPr>
        <w:t xml:space="preserve">degree of accuracy and how </w:t>
      </w:r>
      <w:r w:rsidR="00C37F9C" w:rsidRPr="008313ED">
        <w:rPr>
          <w:rFonts w:asciiTheme="minorHAnsi" w:hAnsiTheme="minorHAnsi"/>
        </w:rPr>
        <w:t>is</w:t>
      </w:r>
      <w:r w:rsidR="5A2C2269" w:rsidRPr="008313ED">
        <w:rPr>
          <w:rFonts w:asciiTheme="minorHAnsi" w:hAnsiTheme="minorHAnsi"/>
        </w:rPr>
        <w:t xml:space="preserve"> it </w:t>
      </w:r>
      <w:r w:rsidR="00C37F9C" w:rsidRPr="008313ED">
        <w:rPr>
          <w:rFonts w:asciiTheme="minorHAnsi" w:hAnsiTheme="minorHAnsi"/>
        </w:rPr>
        <w:t>used</w:t>
      </w:r>
      <w:r w:rsidR="5A2C2269" w:rsidRPr="008313ED">
        <w:rPr>
          <w:rFonts w:asciiTheme="minorHAnsi" w:hAnsiTheme="minorHAnsi"/>
        </w:rPr>
        <w:t xml:space="preserve"> for reporting under Hot Spots</w:t>
      </w:r>
      <w:r w:rsidRPr="008313ED">
        <w:rPr>
          <w:rFonts w:asciiTheme="minorHAnsi" w:hAnsiTheme="minorHAnsi"/>
        </w:rPr>
        <w:t>?</w:t>
      </w:r>
      <w:bookmarkEnd w:id="45"/>
      <w:r w:rsidRPr="008313ED">
        <w:rPr>
          <w:rFonts w:asciiTheme="minorHAnsi" w:hAnsiTheme="minorHAnsi"/>
        </w:rPr>
        <w:t xml:space="preserve"> </w:t>
      </w:r>
    </w:p>
    <w:p w14:paraId="34E6AFDC" w14:textId="2AECD269" w:rsidR="00240684" w:rsidRPr="008313ED" w:rsidRDefault="00240684" w:rsidP="00A9000B">
      <w:pPr>
        <w:rPr>
          <w:rFonts w:asciiTheme="minorHAnsi" w:hAnsiTheme="minorHAnsi"/>
        </w:rPr>
      </w:pPr>
      <w:r w:rsidRPr="008313ED">
        <w:rPr>
          <w:rFonts w:asciiTheme="minorHAnsi" w:hAnsiTheme="minorHAnsi"/>
        </w:rPr>
        <w:t xml:space="preserve">The </w:t>
      </w:r>
      <w:r w:rsidR="36319C30" w:rsidRPr="008313ED">
        <w:rPr>
          <w:rFonts w:asciiTheme="minorHAnsi" w:hAnsiTheme="minorHAnsi"/>
        </w:rPr>
        <w:t>“</w:t>
      </w:r>
      <w:r w:rsidR="31C23241" w:rsidRPr="008313ED">
        <w:rPr>
          <w:rFonts w:asciiTheme="minorHAnsi" w:hAnsiTheme="minorHAnsi"/>
        </w:rPr>
        <w:t xml:space="preserve">applicable </w:t>
      </w:r>
      <w:r w:rsidRPr="008313ED">
        <w:rPr>
          <w:rFonts w:asciiTheme="minorHAnsi" w:hAnsiTheme="minorHAnsi"/>
        </w:rPr>
        <w:t xml:space="preserve">degree of accuracy </w:t>
      </w:r>
      <w:r w:rsidR="01D5078C" w:rsidRPr="008313ED">
        <w:rPr>
          <w:rFonts w:asciiTheme="minorHAnsi" w:hAnsiTheme="minorHAnsi"/>
        </w:rPr>
        <w:t>for reporting</w:t>
      </w:r>
      <w:r w:rsidR="20965DF2" w:rsidRPr="008313ED">
        <w:rPr>
          <w:rFonts w:asciiTheme="minorHAnsi" w:hAnsiTheme="minorHAnsi"/>
        </w:rPr>
        <w:t>”</w:t>
      </w:r>
      <w:r w:rsidR="01D5078C" w:rsidRPr="008313ED">
        <w:rPr>
          <w:rFonts w:asciiTheme="minorHAnsi" w:hAnsiTheme="minorHAnsi"/>
        </w:rPr>
        <w:t xml:space="preserve"> for each substance</w:t>
      </w:r>
      <w:r w:rsidR="102EF77A" w:rsidRPr="008313ED">
        <w:rPr>
          <w:rFonts w:asciiTheme="minorHAnsi" w:hAnsiTheme="minorHAnsi"/>
        </w:rPr>
        <w:t xml:space="preserve"> </w:t>
      </w:r>
      <w:r w:rsidRPr="008313ED">
        <w:rPr>
          <w:rFonts w:asciiTheme="minorHAnsi" w:hAnsiTheme="minorHAnsi"/>
        </w:rPr>
        <w:t xml:space="preserve">can be found in Appendix A-I, alongside the substance name. The Statute requires CARB to ensure that the level and accuracy of emission reporting will be sufficient to be used for characterizing exposure and risk (HSC §44342). For this reason, CARB staff developed the reporting degree of accuracy to communicate to facility operators how accurately they need to report their emissions. For example, for a highly potent metal like hexavalent Chromium, the emissions must be reported out to several decimal places in pounds per year (0.001 </w:t>
      </w:r>
      <w:r w:rsidR="6CD52752" w:rsidRPr="008313ED">
        <w:rPr>
          <w:rFonts w:asciiTheme="minorHAnsi" w:hAnsiTheme="minorHAnsi"/>
        </w:rPr>
        <w:t>is the specified degree of accuracy</w:t>
      </w:r>
      <w:r w:rsidRPr="008313ED">
        <w:rPr>
          <w:rFonts w:asciiTheme="minorHAnsi" w:hAnsiTheme="minorHAnsi"/>
        </w:rPr>
        <w:t xml:space="preserve">), to </w:t>
      </w:r>
      <w:r w:rsidR="5BB2BCEC" w:rsidRPr="008313ED">
        <w:rPr>
          <w:rFonts w:asciiTheme="minorHAnsi" w:hAnsiTheme="minorHAnsi"/>
        </w:rPr>
        <w:t>ensure that</w:t>
      </w:r>
      <w:r w:rsidRPr="008313ED">
        <w:rPr>
          <w:rFonts w:asciiTheme="minorHAnsi" w:hAnsiTheme="minorHAnsi"/>
        </w:rPr>
        <w:t xml:space="preserve"> the reported emissions </w:t>
      </w:r>
      <w:r w:rsidR="7CD596A6" w:rsidRPr="008313ED">
        <w:rPr>
          <w:rFonts w:asciiTheme="minorHAnsi" w:hAnsiTheme="minorHAnsi"/>
        </w:rPr>
        <w:t xml:space="preserve">will </w:t>
      </w:r>
      <w:r w:rsidRPr="008313ED">
        <w:rPr>
          <w:rFonts w:asciiTheme="minorHAnsi" w:hAnsiTheme="minorHAnsi"/>
        </w:rPr>
        <w:t>be useful enough to evaluate the possible public health implications for that facility. By contrast, the emissions of benzene are sufficiently accurate when reported to the nearest two pounds per year, and the emissions of toluene to the nearest 200 pounds per year. The reporting degree of accuracy (RDOA) serves as a practical limit for how emissions should be quantified in consideration of relative toxicity</w:t>
      </w:r>
      <w:r w:rsidR="599F93F0" w:rsidRPr="008313ED">
        <w:rPr>
          <w:rFonts w:asciiTheme="minorHAnsi" w:hAnsiTheme="minorHAnsi"/>
        </w:rPr>
        <w:t>,</w:t>
      </w:r>
      <w:r w:rsidR="102EF77A" w:rsidRPr="008313ED">
        <w:rPr>
          <w:rFonts w:asciiTheme="minorHAnsi" w:hAnsiTheme="minorHAnsi"/>
        </w:rPr>
        <w:t xml:space="preserve"> and </w:t>
      </w:r>
      <w:r w:rsidR="6E0AB1FB" w:rsidRPr="008313ED">
        <w:rPr>
          <w:rFonts w:asciiTheme="minorHAnsi" w:hAnsiTheme="minorHAnsi"/>
        </w:rPr>
        <w:t>one-half the degree of accuracy</w:t>
      </w:r>
      <w:r w:rsidRPr="008313ED">
        <w:rPr>
          <w:rFonts w:asciiTheme="minorHAnsi" w:hAnsiTheme="minorHAnsi"/>
        </w:rPr>
        <w:t xml:space="preserve"> acts as a de minimis consideration to communicate levels of emission reporting below which </w:t>
      </w:r>
      <w:proofErr w:type="gramStart"/>
      <w:r w:rsidRPr="008313ED">
        <w:rPr>
          <w:rFonts w:asciiTheme="minorHAnsi" w:hAnsiTheme="minorHAnsi"/>
        </w:rPr>
        <w:t>the risk</w:t>
      </w:r>
      <w:proofErr w:type="gramEnd"/>
      <w:r w:rsidRPr="008313ED">
        <w:rPr>
          <w:rFonts w:asciiTheme="minorHAnsi" w:hAnsiTheme="minorHAnsi"/>
        </w:rPr>
        <w:t xml:space="preserve"> should be minimal.</w:t>
      </w:r>
      <w:r w:rsidR="61BB7D61" w:rsidRPr="008313ED">
        <w:rPr>
          <w:rFonts w:asciiTheme="minorHAnsi" w:hAnsiTheme="minorHAnsi"/>
        </w:rPr>
        <w:t xml:space="preserve"> See </w:t>
      </w:r>
      <w:r w:rsidR="67BE9286" w:rsidRPr="008313ED">
        <w:rPr>
          <w:rFonts w:asciiTheme="minorHAnsi" w:hAnsiTheme="minorHAnsi"/>
        </w:rPr>
        <w:t xml:space="preserve">EICG Section VIII.E. and Appendix B-II, Emission Information Form, item (16) for </w:t>
      </w:r>
      <w:r w:rsidR="6A72BB90" w:rsidRPr="008313ED">
        <w:rPr>
          <w:rFonts w:asciiTheme="minorHAnsi" w:hAnsiTheme="minorHAnsi"/>
        </w:rPr>
        <w:t>details on using degree of accuracy values.</w:t>
      </w:r>
    </w:p>
    <w:p w14:paraId="7FA3C692" w14:textId="77777777" w:rsidR="006A0BA2" w:rsidRPr="008313ED" w:rsidRDefault="006A0BA2" w:rsidP="005B493F">
      <w:pPr>
        <w:pStyle w:val="Heading3"/>
        <w:rPr>
          <w:rFonts w:asciiTheme="minorHAnsi" w:hAnsiTheme="minorHAnsi"/>
        </w:rPr>
      </w:pPr>
      <w:bookmarkStart w:id="46" w:name="_Toc187305878"/>
      <w:r w:rsidRPr="008313ED">
        <w:rPr>
          <w:rFonts w:asciiTheme="minorHAnsi" w:hAnsiTheme="minorHAnsi"/>
        </w:rPr>
        <w:t>How is the Molecular Weight Adjustment Factor (MWAF) used for metals?</w:t>
      </w:r>
      <w:bookmarkEnd w:id="46"/>
      <w:r w:rsidRPr="008313ED">
        <w:rPr>
          <w:rFonts w:asciiTheme="minorHAnsi" w:hAnsiTheme="minorHAnsi"/>
        </w:rPr>
        <w:t> </w:t>
      </w:r>
    </w:p>
    <w:p w14:paraId="4905C713" w14:textId="77777777" w:rsidR="006A0BA2" w:rsidRPr="006A0BA2" w:rsidRDefault="006A0BA2" w:rsidP="006A0BA2">
      <w:pPr>
        <w:rPr>
          <w:rFonts w:asciiTheme="minorHAnsi" w:hAnsiTheme="minorHAnsi"/>
        </w:rPr>
      </w:pPr>
      <w:r w:rsidRPr="006A0BA2">
        <w:rPr>
          <w:rFonts w:asciiTheme="minorHAnsi" w:hAnsiTheme="minorHAnsi"/>
        </w:rPr>
        <w:t xml:space="preserve">For most of the Hot Spots toxic metals, the Office of Environmental Health Hazard Assessment (OEHHA) cancer potency factors and </w:t>
      </w:r>
      <w:proofErr w:type="gramStart"/>
      <w:r w:rsidRPr="006A0BA2">
        <w:rPr>
          <w:rFonts w:asciiTheme="minorHAnsi" w:hAnsiTheme="minorHAnsi"/>
        </w:rPr>
        <w:t>noncancer</w:t>
      </w:r>
      <w:proofErr w:type="gramEnd"/>
      <w:r w:rsidRPr="006A0BA2">
        <w:rPr>
          <w:rFonts w:asciiTheme="minorHAnsi" w:hAnsiTheme="minorHAnsi"/>
        </w:rPr>
        <w:t xml:space="preserve"> reference exposure levels (RELs) apply to the weight of the toxic metal contained in the overall compound. This was established from scientific studies showing the observed health effects generally track the weight of the metal atom equivalent, not the weight of the overall </w:t>
      </w:r>
      <w:proofErr w:type="gramStart"/>
      <w:r w:rsidRPr="006A0BA2">
        <w:rPr>
          <w:rFonts w:asciiTheme="minorHAnsi" w:hAnsiTheme="minorHAnsi"/>
        </w:rPr>
        <w:t>particular compound</w:t>
      </w:r>
      <w:proofErr w:type="gramEnd"/>
      <w:r w:rsidRPr="006A0BA2">
        <w:rPr>
          <w:rFonts w:asciiTheme="minorHAnsi" w:hAnsiTheme="minorHAnsi"/>
        </w:rPr>
        <w:t>. </w:t>
      </w:r>
    </w:p>
    <w:p w14:paraId="7DB2FD70" w14:textId="77777777" w:rsidR="006A0BA2" w:rsidRPr="006A0BA2" w:rsidRDefault="006A0BA2" w:rsidP="006A0BA2">
      <w:pPr>
        <w:rPr>
          <w:rFonts w:asciiTheme="minorHAnsi" w:hAnsiTheme="minorHAnsi"/>
        </w:rPr>
      </w:pPr>
      <w:r w:rsidRPr="006A0BA2">
        <w:rPr>
          <w:rFonts w:asciiTheme="minorHAnsi" w:hAnsiTheme="minorHAnsi"/>
        </w:rPr>
        <w:t xml:space="preserve">Some of the Hot </w:t>
      </w:r>
      <w:proofErr w:type="gramStart"/>
      <w:r w:rsidRPr="006A0BA2">
        <w:rPr>
          <w:rFonts w:asciiTheme="minorHAnsi" w:hAnsiTheme="minorHAnsi"/>
        </w:rPr>
        <w:t>Spots</w:t>
      </w:r>
      <w:proofErr w:type="gramEnd"/>
      <w:r w:rsidRPr="006A0BA2">
        <w:rPr>
          <w:rFonts w:asciiTheme="minorHAnsi" w:hAnsiTheme="minorHAnsi"/>
        </w:rPr>
        <w:t xml:space="preserve"> compounds contain various elements along with the toxic metal atom (e.g., “Nickel hydroxide”, CAS number 12054-48-7, has a formula of H</w:t>
      </w:r>
      <w:r w:rsidRPr="006A0BA2">
        <w:rPr>
          <w:rFonts w:asciiTheme="minorHAnsi" w:hAnsiTheme="minorHAnsi"/>
          <w:vertAlign w:val="subscript"/>
        </w:rPr>
        <w:t>2</w:t>
      </w:r>
      <w:r w:rsidRPr="006A0BA2">
        <w:rPr>
          <w:rFonts w:asciiTheme="minorHAnsi" w:hAnsiTheme="minorHAnsi"/>
        </w:rPr>
        <w:t>NiO</w:t>
      </w:r>
      <w:r w:rsidRPr="006A0BA2">
        <w:rPr>
          <w:rFonts w:asciiTheme="minorHAnsi" w:hAnsiTheme="minorHAnsi"/>
          <w:vertAlign w:val="subscript"/>
        </w:rPr>
        <w:t>2</w:t>
      </w:r>
      <w:r w:rsidRPr="006A0BA2">
        <w:rPr>
          <w:rFonts w:asciiTheme="minorHAnsi" w:hAnsiTheme="minorHAnsi"/>
        </w:rPr>
        <w:t xml:space="preserve">). Therefore, an adjustment to the reported pounds of the overall compound is needed before applying the OEHHA cancer potency factor and noncancer RELs for “Nickel and compounds” to such a compound. This ensures that the cancer potency factor and noncancer RELs are applied only to the fraction of the overall weight of the emissions that are associated with health effects of the metal. In other cases, the Hot Spots metals are already reported as the metal atom equivalent (e.g., CAS 7440-02-0, “Nickel”), and these cases do not use any further molecular weight adjustment. (Refer to Note [7] in </w:t>
      </w:r>
      <w:hyperlink r:id="rId42" w:tgtFrame="_blank" w:history="1">
        <w:r w:rsidRPr="006A0BA2">
          <w:rPr>
            <w:rStyle w:val="Hyperlink"/>
            <w:rFonts w:asciiTheme="minorHAnsi" w:hAnsiTheme="minorHAnsi"/>
          </w:rPr>
          <w:t>Appendix A</w:t>
        </w:r>
      </w:hyperlink>
      <w:r w:rsidRPr="006A0BA2">
        <w:rPr>
          <w:rFonts w:asciiTheme="minorHAnsi" w:hAnsiTheme="minorHAnsi"/>
        </w:rPr>
        <w:t>, List of Substances in the EICG Regulation for further information on how the emissions of various Hot Spots metal compounds are reported.) </w:t>
      </w:r>
    </w:p>
    <w:p w14:paraId="56B1B436" w14:textId="77777777" w:rsidR="006A0BA2" w:rsidRPr="006A0BA2" w:rsidRDefault="006A0BA2" w:rsidP="006A0BA2">
      <w:pPr>
        <w:rPr>
          <w:rFonts w:asciiTheme="minorHAnsi" w:hAnsiTheme="minorHAnsi"/>
        </w:rPr>
      </w:pPr>
      <w:r w:rsidRPr="006A0BA2">
        <w:rPr>
          <w:rFonts w:asciiTheme="minorHAnsi" w:hAnsiTheme="minorHAnsi"/>
        </w:rPr>
        <w:t xml:space="preserve">The appropriate molecular weight adjustment factor (MWAF) to be used along with the OEHHA cancer potency factors and noncancer RELs for each of the Hot Spots metals can be found in the MWAF column of the </w:t>
      </w:r>
      <w:hyperlink r:id="rId43" w:tgtFrame="_blank" w:history="1">
        <w:r w:rsidRPr="006A0BA2">
          <w:rPr>
            <w:rStyle w:val="Hyperlink"/>
            <w:rFonts w:asciiTheme="minorHAnsi" w:hAnsiTheme="minorHAnsi"/>
          </w:rPr>
          <w:t>Consolidated Table of OEHHA/ARB Approved Risk Assessment Health Values</w:t>
        </w:r>
      </w:hyperlink>
      <w:r w:rsidRPr="006A0BA2">
        <w:rPr>
          <w:rFonts w:asciiTheme="minorHAnsi" w:hAnsiTheme="minorHAnsi"/>
        </w:rPr>
        <w:t>.  </w:t>
      </w:r>
    </w:p>
    <w:p w14:paraId="7A5B65A3" w14:textId="77777777" w:rsidR="006A0BA2" w:rsidRPr="006A0BA2" w:rsidRDefault="006A0BA2" w:rsidP="006A0BA2">
      <w:pPr>
        <w:rPr>
          <w:rFonts w:asciiTheme="minorHAnsi" w:hAnsiTheme="minorHAnsi"/>
        </w:rPr>
      </w:pPr>
      <w:r w:rsidRPr="006A0BA2">
        <w:rPr>
          <w:rFonts w:asciiTheme="minorHAnsi" w:hAnsiTheme="minorHAnsi"/>
        </w:rPr>
        <w:t>So, for example, assume that 100 pounds of “Nickel hydroxide” emissions are reported under CAS number 12054-48-7. To get the Nickel atom equivalent of these emissions, multiply by the listed MWAF (0.6332) for Nickel hydroxide: </w:t>
      </w:r>
    </w:p>
    <w:p w14:paraId="6C565F45" w14:textId="4B1A0B61" w:rsidR="006A0BA2" w:rsidRPr="006A0BA2" w:rsidRDefault="006A0BA2" w:rsidP="0038255A">
      <w:pPr>
        <w:jc w:val="center"/>
        <w:rPr>
          <w:rFonts w:asciiTheme="minorHAnsi" w:hAnsiTheme="minorHAnsi"/>
        </w:rPr>
      </w:pPr>
      <w:r w:rsidRPr="006A0BA2">
        <w:rPr>
          <w:rFonts w:asciiTheme="minorHAnsi" w:hAnsiTheme="minorHAnsi"/>
        </w:rPr>
        <w:t>100 pounds x 0.6332 = 63.32 pounds of Nickel atom equivalent</w:t>
      </w:r>
    </w:p>
    <w:p w14:paraId="4891BA6D" w14:textId="77777777" w:rsidR="006A0BA2" w:rsidRPr="006A0BA2" w:rsidRDefault="006A0BA2" w:rsidP="006A0BA2">
      <w:pPr>
        <w:rPr>
          <w:rFonts w:asciiTheme="minorHAnsi" w:hAnsiTheme="minorHAnsi"/>
        </w:rPr>
      </w:pPr>
      <w:r w:rsidRPr="006A0BA2">
        <w:rPr>
          <w:rFonts w:asciiTheme="minorHAnsi" w:hAnsiTheme="minorHAnsi"/>
        </w:rPr>
        <w:t>This step should be completed prior to applying the OEHHA cancer potency factor and noncancer RELs for “Nickel and compounds” in a calculation for a prioritization score or risk assessment calculation. </w:t>
      </w:r>
    </w:p>
    <w:p w14:paraId="19A9B1DB" w14:textId="77777777" w:rsidR="006A0BA2" w:rsidRPr="006A0BA2" w:rsidRDefault="006A0BA2" w:rsidP="006A0BA2">
      <w:pPr>
        <w:rPr>
          <w:rFonts w:asciiTheme="minorHAnsi" w:hAnsiTheme="minorHAnsi"/>
        </w:rPr>
      </w:pPr>
      <w:r w:rsidRPr="006A0BA2">
        <w:rPr>
          <w:rFonts w:asciiTheme="minorHAnsi" w:hAnsiTheme="minorHAnsi"/>
        </w:rPr>
        <w:t xml:space="preserve">For more information on MWAF please refer to Section 4.2.1.1.1 of OEHHA‘s </w:t>
      </w:r>
      <w:hyperlink r:id="rId44" w:tgtFrame="_blank" w:history="1">
        <w:r w:rsidRPr="006A0BA2">
          <w:rPr>
            <w:rStyle w:val="Hyperlink"/>
            <w:rFonts w:asciiTheme="minorHAnsi" w:hAnsiTheme="minorHAnsi"/>
          </w:rPr>
          <w:t>Air Toxics Hot Spots Program Guidance Manual for the Preparation of Risk Assessments</w:t>
        </w:r>
      </w:hyperlink>
      <w:r w:rsidRPr="006A0BA2">
        <w:rPr>
          <w:rFonts w:asciiTheme="minorHAnsi" w:hAnsiTheme="minorHAnsi"/>
        </w:rPr>
        <w:t xml:space="preserve"> (Guidance Manual) (February 2015). </w:t>
      </w:r>
    </w:p>
    <w:p w14:paraId="1E18D243" w14:textId="77777777" w:rsidR="006A0BA2" w:rsidRPr="006A0BA2" w:rsidRDefault="006A0BA2" w:rsidP="006A0BA2">
      <w:pPr>
        <w:rPr>
          <w:rFonts w:asciiTheme="minorHAnsi" w:hAnsiTheme="minorHAnsi"/>
        </w:rPr>
      </w:pPr>
      <w:r w:rsidRPr="006A0BA2">
        <w:rPr>
          <w:rFonts w:asciiTheme="minorHAnsi" w:hAnsiTheme="minorHAnsi"/>
        </w:rPr>
        <w:t>Note Regarding HARP Software: The HARP software automatically applies the appropriate MWAF for each Hot Spots chemical (by CAS number), so the emissions should not be manually adjusted when using HARP. Therefore, if using HARP, you would use 100 pounds for Nickel hydroxide and HARP will make the MWAF adjustment for you. (If not using HARP, you would use 63.32 pounds.) </w:t>
      </w:r>
    </w:p>
    <w:p w14:paraId="3947148E" w14:textId="77777777" w:rsidR="006A0BA2" w:rsidRPr="006A0BA2" w:rsidRDefault="006A0BA2" w:rsidP="006A0BA2">
      <w:pPr>
        <w:rPr>
          <w:rFonts w:asciiTheme="minorHAnsi" w:hAnsiTheme="minorHAnsi"/>
        </w:rPr>
      </w:pPr>
      <w:r w:rsidRPr="006A0BA2">
        <w:rPr>
          <w:rFonts w:asciiTheme="minorHAnsi" w:hAnsiTheme="minorHAnsi"/>
          <w:b/>
          <w:bCs/>
        </w:rPr>
        <w:t>Special Cases</w:t>
      </w:r>
      <w:r w:rsidRPr="006A0BA2">
        <w:rPr>
          <w:rFonts w:asciiTheme="minorHAnsi" w:hAnsiTheme="minorHAnsi"/>
        </w:rPr>
        <w:t>: There are a few special cases regarding the MWAF field that are noted here. </w:t>
      </w:r>
    </w:p>
    <w:p w14:paraId="76EC589C" w14:textId="77777777" w:rsidR="006A0BA2" w:rsidRPr="006A0BA2" w:rsidRDefault="006A0BA2" w:rsidP="006A0BA2">
      <w:pPr>
        <w:rPr>
          <w:rFonts w:asciiTheme="minorHAnsi" w:hAnsiTheme="minorHAnsi"/>
        </w:rPr>
      </w:pPr>
      <w:r w:rsidRPr="006A0BA2">
        <w:rPr>
          <w:rFonts w:asciiTheme="minorHAnsi" w:hAnsiTheme="minorHAnsi"/>
          <w:i/>
          <w:iCs/>
        </w:rPr>
        <w:t>Asbestos</w:t>
      </w:r>
      <w:r w:rsidRPr="006A0BA2">
        <w:rPr>
          <w:rFonts w:asciiTheme="minorHAnsi" w:hAnsiTheme="minorHAnsi"/>
        </w:rPr>
        <w:t xml:space="preserve"> (and related forms under the group “Mineral fibers, other than man-made”): The value listed in the MWAF column for Asbestos is not a molecular weight adjustment. This is a conversion factor for adjusting mass and fibers or structures. See Appendix C of OEHHA‘s </w:t>
      </w:r>
      <w:hyperlink r:id="rId45" w:tgtFrame="_blank" w:history="1">
        <w:r w:rsidRPr="006A0BA2">
          <w:rPr>
            <w:rStyle w:val="Hyperlink"/>
            <w:rFonts w:asciiTheme="minorHAnsi" w:hAnsiTheme="minorHAnsi"/>
          </w:rPr>
          <w:t>Guidance Manual</w:t>
        </w:r>
      </w:hyperlink>
      <w:r w:rsidRPr="006A0BA2">
        <w:rPr>
          <w:rFonts w:asciiTheme="minorHAnsi" w:hAnsiTheme="minorHAnsi"/>
        </w:rPr>
        <w:t xml:space="preserve"> (February 2015) for more information on Asbestos reporting and risk assessment information. Also see the Asbestos footnote (designated by the letter f) in the </w:t>
      </w:r>
      <w:hyperlink r:id="rId46" w:tgtFrame="_blank" w:history="1">
        <w:r w:rsidRPr="006A0BA2">
          <w:rPr>
            <w:rStyle w:val="Hyperlink"/>
            <w:rFonts w:asciiTheme="minorHAnsi" w:hAnsiTheme="minorHAnsi"/>
          </w:rPr>
          <w:t>Consolidated Table</w:t>
        </w:r>
      </w:hyperlink>
      <w:r w:rsidRPr="006A0BA2">
        <w:rPr>
          <w:rFonts w:asciiTheme="minorHAnsi" w:hAnsiTheme="minorHAnsi"/>
        </w:rPr>
        <w:t>. </w:t>
      </w:r>
    </w:p>
    <w:p w14:paraId="64104E62" w14:textId="77777777" w:rsidR="006A0BA2" w:rsidRPr="006A0BA2" w:rsidRDefault="006A0BA2" w:rsidP="006A0BA2">
      <w:pPr>
        <w:rPr>
          <w:rFonts w:asciiTheme="minorHAnsi" w:hAnsiTheme="minorHAnsi"/>
        </w:rPr>
      </w:pPr>
      <w:r w:rsidRPr="006A0BA2">
        <w:rPr>
          <w:rFonts w:asciiTheme="minorHAnsi" w:hAnsiTheme="minorHAnsi"/>
          <w:i/>
          <w:iCs/>
        </w:rPr>
        <w:t>Lead chromate</w:t>
      </w:r>
      <w:r w:rsidRPr="006A0BA2">
        <w:rPr>
          <w:rFonts w:asciiTheme="minorHAnsi" w:hAnsiTheme="minorHAnsi"/>
        </w:rPr>
        <w:t xml:space="preserve">: Some metal compounds consist of multiple components where both components have toxicity and may have OEHHA health values. As an important example, Lead chromate has toxicity due to both the Lead and the hexavalent Chromium in the compound. But because the very high cancer potency for hexavalent Chromium would generally contribute more to risk than the toxicity concern from the Lead, the MWAF value listed in the </w:t>
      </w:r>
      <w:hyperlink r:id="rId47" w:tgtFrame="_blank" w:history="1">
        <w:r w:rsidRPr="006A0BA2">
          <w:rPr>
            <w:rStyle w:val="Hyperlink"/>
            <w:rFonts w:asciiTheme="minorHAnsi" w:hAnsiTheme="minorHAnsi"/>
          </w:rPr>
          <w:t>Consolidated Table</w:t>
        </w:r>
      </w:hyperlink>
      <w:r w:rsidRPr="006A0BA2">
        <w:rPr>
          <w:rFonts w:asciiTheme="minorHAnsi" w:hAnsiTheme="minorHAnsi"/>
        </w:rPr>
        <w:t xml:space="preserve"> for Lead chromate is based on the weight of the Chromium in the compound (not the Lead). Only a single MWAF field can be stored in CARB’s table, so the value listed is for the weight fraction of the Chromium in the Lead chromate molecule. However, the Lead fraction can be calculated. </w:t>
      </w:r>
    </w:p>
    <w:p w14:paraId="08AB997B" w14:textId="575CD085" w:rsidR="00A77D94" w:rsidRPr="008313ED" w:rsidRDefault="006A0BA2" w:rsidP="00A9000B">
      <w:pPr>
        <w:rPr>
          <w:rFonts w:asciiTheme="minorHAnsi" w:hAnsiTheme="minorHAnsi"/>
        </w:rPr>
      </w:pPr>
      <w:r w:rsidRPr="006A0BA2">
        <w:rPr>
          <w:rFonts w:asciiTheme="minorHAnsi" w:hAnsiTheme="minorHAnsi"/>
        </w:rPr>
        <w:t>If someone wanted to compile a comprehensive inventory focused specifically on “Lead”, they would include the Lead chromate with their Lead inventory and they would need to calculate their own “weight of Lead” fraction for it (knowing the periodic table and the molecule’s formula PbCrO</w:t>
      </w:r>
      <w:r w:rsidRPr="006A0BA2">
        <w:rPr>
          <w:rFonts w:asciiTheme="minorHAnsi" w:hAnsiTheme="minorHAnsi"/>
          <w:vertAlign w:val="subscript"/>
        </w:rPr>
        <w:t>4</w:t>
      </w:r>
      <w:r w:rsidRPr="006A0BA2">
        <w:rPr>
          <w:rFonts w:asciiTheme="minorHAnsi" w:hAnsiTheme="minorHAnsi"/>
        </w:rPr>
        <w:t>, giving a Lead fraction of 0.6411) </w:t>
      </w:r>
    </w:p>
    <w:p w14:paraId="509E8004" w14:textId="77777777" w:rsidR="00240684" w:rsidRPr="008313ED" w:rsidRDefault="6A79A0BF" w:rsidP="352303B0">
      <w:pPr>
        <w:pStyle w:val="Heading2"/>
        <w:rPr>
          <w:rFonts w:asciiTheme="minorHAnsi" w:hAnsiTheme="minorHAnsi"/>
        </w:rPr>
      </w:pPr>
      <w:bookmarkStart w:id="47" w:name="_Ref151104250"/>
      <w:bookmarkStart w:id="48" w:name="_Toc187305879"/>
      <w:r w:rsidRPr="008313ED">
        <w:rPr>
          <w:rFonts w:asciiTheme="minorHAnsi" w:hAnsiTheme="minorHAnsi"/>
        </w:rPr>
        <w:t>Functional Groups</w:t>
      </w:r>
      <w:bookmarkEnd w:id="47"/>
      <w:bookmarkEnd w:id="48"/>
    </w:p>
    <w:p w14:paraId="6BA1FDEE" w14:textId="42112561" w:rsidR="00240684" w:rsidRPr="008313ED" w:rsidRDefault="6A79A0BF" w:rsidP="00A9000B">
      <w:pPr>
        <w:pStyle w:val="Heading3"/>
        <w:rPr>
          <w:rFonts w:asciiTheme="minorHAnsi" w:hAnsiTheme="minorHAnsi"/>
        </w:rPr>
      </w:pPr>
      <w:bookmarkStart w:id="49" w:name="_Toc187305880"/>
      <w:r w:rsidRPr="008313ED">
        <w:rPr>
          <w:rFonts w:asciiTheme="minorHAnsi" w:hAnsiTheme="minorHAnsi"/>
        </w:rPr>
        <w:t>What is a functional group?</w:t>
      </w:r>
      <w:bookmarkEnd w:id="49"/>
      <w:r w:rsidRPr="008313ED">
        <w:rPr>
          <w:rFonts w:asciiTheme="minorHAnsi" w:hAnsiTheme="minorHAnsi"/>
        </w:rPr>
        <w:t xml:space="preserve"> </w:t>
      </w:r>
    </w:p>
    <w:p w14:paraId="0F9EAE3D" w14:textId="3C628902" w:rsidR="00240684" w:rsidRPr="008313ED" w:rsidRDefault="00240684" w:rsidP="00A9000B">
      <w:pPr>
        <w:rPr>
          <w:rFonts w:asciiTheme="minorHAnsi" w:eastAsia="Times New Roman" w:hAnsiTheme="minorHAnsi"/>
          <w:b/>
          <w:bCs/>
        </w:rPr>
      </w:pPr>
      <w:r w:rsidRPr="008313ED">
        <w:rPr>
          <w:rFonts w:asciiTheme="minorHAnsi" w:eastAsia="Calibri" w:hAnsiTheme="minorHAnsi" w:cs="Calibri"/>
        </w:rPr>
        <w:t xml:space="preserve">The concept of functional group classes was introduced into EICG in 2020 and applies to several chemical “families” of known concern. These families have a portion of their chemical structure that is understood to be the “family trait” (referred to as the chemical “functional group”) that is responsible for similar chemical </w:t>
      </w:r>
      <w:r w:rsidR="00592C50" w:rsidRPr="008313ED">
        <w:rPr>
          <w:rFonts w:asciiTheme="minorHAnsi" w:eastAsia="Calibri" w:hAnsiTheme="minorHAnsi" w:cs="Calibri"/>
        </w:rPr>
        <w:t xml:space="preserve">and </w:t>
      </w:r>
      <w:r w:rsidRPr="008313ED">
        <w:rPr>
          <w:rFonts w:asciiTheme="minorHAnsi" w:eastAsia="Calibri" w:hAnsiTheme="minorHAnsi" w:cs="Calibri"/>
        </w:rPr>
        <w:t>biological behavior, both of which give rise to adverse health effects for the entire chemical “family”</w:t>
      </w:r>
      <w:r w:rsidRPr="008313ED" w:rsidDel="00A830A2">
        <w:rPr>
          <w:rFonts w:asciiTheme="minorHAnsi" w:eastAsia="Calibri" w:hAnsiTheme="minorHAnsi" w:cs="Calibri"/>
        </w:rPr>
        <w:t>.</w:t>
      </w:r>
      <w:r w:rsidRPr="008313ED">
        <w:rPr>
          <w:rFonts w:asciiTheme="minorHAnsi" w:eastAsia="Calibri" w:hAnsiTheme="minorHAnsi" w:cs="Calibri"/>
        </w:rPr>
        <w:t xml:space="preserve"> Adding functional groups to EICG ensures that all chemicals in that “family” are </w:t>
      </w:r>
      <w:proofErr w:type="gramStart"/>
      <w:r w:rsidRPr="008313ED">
        <w:rPr>
          <w:rFonts w:asciiTheme="minorHAnsi" w:eastAsia="Calibri" w:hAnsiTheme="minorHAnsi" w:cs="Calibri"/>
        </w:rPr>
        <w:t>reported</w:t>
      </w:r>
      <w:proofErr w:type="gramEnd"/>
      <w:r w:rsidRPr="008313ED">
        <w:rPr>
          <w:rFonts w:asciiTheme="minorHAnsi" w:eastAsia="Calibri" w:hAnsiTheme="minorHAnsi" w:cs="Calibri"/>
        </w:rPr>
        <w:t xml:space="preserve"> and that reporting is comprehensive</w:t>
      </w:r>
      <w:r w:rsidRPr="008313ED" w:rsidDel="00056D90">
        <w:rPr>
          <w:rFonts w:asciiTheme="minorHAnsi" w:eastAsia="Calibri" w:hAnsiTheme="minorHAnsi" w:cs="Calibri"/>
        </w:rPr>
        <w:t xml:space="preserve"> and </w:t>
      </w:r>
      <w:r w:rsidRPr="008313ED">
        <w:rPr>
          <w:rFonts w:asciiTheme="minorHAnsi" w:eastAsia="Calibri" w:hAnsiTheme="minorHAnsi" w:cs="Calibri"/>
        </w:rPr>
        <w:t>up to date regardless of whether new variations of the chemicals are introduced.</w:t>
      </w:r>
    </w:p>
    <w:p w14:paraId="01A86228" w14:textId="3970E068" w:rsidR="00240684" w:rsidRPr="008313ED" w:rsidRDefault="00240684" w:rsidP="00A9000B">
      <w:pPr>
        <w:rPr>
          <w:rFonts w:asciiTheme="minorHAnsi" w:hAnsiTheme="minorHAnsi"/>
        </w:rPr>
      </w:pPr>
      <w:r w:rsidRPr="008313ED">
        <w:rPr>
          <w:rFonts w:asciiTheme="minorHAnsi" w:hAnsiTheme="minorHAnsi"/>
        </w:rPr>
        <w:t>Appendix A is revised to include three types of chemical functional groups for which emissions of any substance having the functional group must be reported. These chemical functional groups include: 1) any chemical containing an isocyanate functional group, 2) derivatives and substituted versions of polycyclic aromatic compounds that contain any halogen atom, and 3) poly and per fluorinated chemicals (or PFAS-related chemicals). The PFAS-related chemicals are further divided into the following eight subclasses</w:t>
      </w:r>
      <w:r w:rsidRPr="008313ED">
        <w:rPr>
          <w:rStyle w:val="FootnoteReference"/>
          <w:rFonts w:asciiTheme="minorHAnsi" w:hAnsiTheme="minorHAnsi"/>
        </w:rPr>
        <w:footnoteReference w:id="12"/>
      </w:r>
      <w:r w:rsidRPr="008313ED">
        <w:rPr>
          <w:rFonts w:asciiTheme="minorHAnsi" w:hAnsiTheme="minorHAnsi"/>
        </w:rPr>
        <w:t xml:space="preserve"> </w:t>
      </w:r>
      <w:r w:rsidRPr="008313ED">
        <w:rPr>
          <w:rStyle w:val="FootnoteReference"/>
          <w:rFonts w:asciiTheme="minorHAnsi" w:hAnsiTheme="minorHAnsi"/>
        </w:rPr>
        <w:footnoteReference w:id="13"/>
      </w:r>
      <w:r w:rsidRPr="008313ED">
        <w:rPr>
          <w:rFonts w:asciiTheme="minorHAnsi" w:hAnsiTheme="minorHAnsi"/>
        </w:rPr>
        <w:t xml:space="preserve"> </w:t>
      </w:r>
      <w:r w:rsidRPr="008313ED">
        <w:rPr>
          <w:rStyle w:val="FootnoteReference"/>
          <w:rFonts w:asciiTheme="minorHAnsi" w:hAnsiTheme="minorHAnsi"/>
        </w:rPr>
        <w:footnoteReference w:id="14"/>
      </w:r>
      <w:r w:rsidRPr="008313ED">
        <w:rPr>
          <w:rFonts w:asciiTheme="minorHAnsi" w:hAnsiTheme="minorHAnsi"/>
        </w:rPr>
        <w:t>:</w:t>
      </w:r>
    </w:p>
    <w:p w14:paraId="33CA5081" w14:textId="77777777" w:rsidR="00240684" w:rsidRPr="008313ED" w:rsidRDefault="00240684" w:rsidP="00240684">
      <w:pPr>
        <w:pStyle w:val="ListParagraph"/>
        <w:widowControl w:val="0"/>
        <w:numPr>
          <w:ilvl w:val="0"/>
          <w:numId w:val="40"/>
        </w:numPr>
        <w:autoSpaceDE w:val="0"/>
        <w:autoSpaceDN w:val="0"/>
        <w:spacing w:before="0" w:after="0"/>
        <w:contextualSpacing w:val="0"/>
        <w:rPr>
          <w:rFonts w:asciiTheme="minorHAnsi" w:hAnsiTheme="minorHAnsi"/>
        </w:rPr>
      </w:pPr>
      <w:r w:rsidRPr="008313ED">
        <w:rPr>
          <w:rFonts w:asciiTheme="minorHAnsi" w:hAnsiTheme="minorHAnsi"/>
        </w:rPr>
        <w:t>Perfluoroalkyl sulfonyl, sulfonic acid, sulfonate and sulfonamide compounds</w:t>
      </w:r>
    </w:p>
    <w:p w14:paraId="737F32A3" w14:textId="77777777" w:rsidR="00240684" w:rsidRPr="008313ED" w:rsidRDefault="00240684" w:rsidP="00240684">
      <w:pPr>
        <w:pStyle w:val="ListParagraph"/>
        <w:widowControl w:val="0"/>
        <w:numPr>
          <w:ilvl w:val="0"/>
          <w:numId w:val="40"/>
        </w:numPr>
        <w:autoSpaceDE w:val="0"/>
        <w:autoSpaceDN w:val="0"/>
        <w:spacing w:before="0" w:after="0"/>
        <w:contextualSpacing w:val="0"/>
        <w:rPr>
          <w:rFonts w:asciiTheme="minorHAnsi" w:hAnsiTheme="minorHAnsi"/>
        </w:rPr>
      </w:pPr>
      <w:r w:rsidRPr="008313ED">
        <w:rPr>
          <w:rFonts w:asciiTheme="minorHAnsi" w:hAnsiTheme="minorHAnsi"/>
        </w:rPr>
        <w:t>Perfluoroalkyl phosphate compounds</w:t>
      </w:r>
    </w:p>
    <w:p w14:paraId="71C69162" w14:textId="77777777" w:rsidR="00240684" w:rsidRPr="008313ED" w:rsidRDefault="00240684" w:rsidP="00240684">
      <w:pPr>
        <w:pStyle w:val="ListParagraph"/>
        <w:widowControl w:val="0"/>
        <w:numPr>
          <w:ilvl w:val="0"/>
          <w:numId w:val="40"/>
        </w:numPr>
        <w:autoSpaceDE w:val="0"/>
        <w:autoSpaceDN w:val="0"/>
        <w:spacing w:before="0" w:after="0"/>
        <w:contextualSpacing w:val="0"/>
        <w:rPr>
          <w:rFonts w:asciiTheme="minorHAnsi" w:hAnsiTheme="minorHAnsi"/>
        </w:rPr>
      </w:pPr>
      <w:r w:rsidRPr="008313ED">
        <w:rPr>
          <w:rFonts w:asciiTheme="minorHAnsi" w:hAnsiTheme="minorHAnsi"/>
        </w:rPr>
        <w:t>Fluorotelomer-related compounds</w:t>
      </w:r>
    </w:p>
    <w:p w14:paraId="69C45010" w14:textId="77777777" w:rsidR="00240684" w:rsidRPr="008313ED" w:rsidRDefault="00240684" w:rsidP="00240684">
      <w:pPr>
        <w:pStyle w:val="ListParagraph"/>
        <w:widowControl w:val="0"/>
        <w:numPr>
          <w:ilvl w:val="0"/>
          <w:numId w:val="40"/>
        </w:numPr>
        <w:autoSpaceDE w:val="0"/>
        <w:autoSpaceDN w:val="0"/>
        <w:spacing w:before="0" w:after="0"/>
        <w:contextualSpacing w:val="0"/>
        <w:rPr>
          <w:rFonts w:asciiTheme="minorHAnsi" w:hAnsiTheme="minorHAnsi"/>
        </w:rPr>
      </w:pPr>
      <w:r w:rsidRPr="008313ED">
        <w:rPr>
          <w:rFonts w:asciiTheme="minorHAnsi" w:hAnsiTheme="minorHAnsi"/>
        </w:rPr>
        <w:t>Per- and polyfluoroalkyl ether-based compounds</w:t>
      </w:r>
    </w:p>
    <w:p w14:paraId="2B407292" w14:textId="77777777" w:rsidR="00240684" w:rsidRPr="008313ED" w:rsidRDefault="00240684" w:rsidP="00240684">
      <w:pPr>
        <w:pStyle w:val="ListParagraph"/>
        <w:widowControl w:val="0"/>
        <w:numPr>
          <w:ilvl w:val="0"/>
          <w:numId w:val="40"/>
        </w:numPr>
        <w:autoSpaceDE w:val="0"/>
        <w:autoSpaceDN w:val="0"/>
        <w:spacing w:before="0" w:after="0"/>
        <w:contextualSpacing w:val="0"/>
        <w:rPr>
          <w:rFonts w:asciiTheme="minorHAnsi" w:hAnsiTheme="minorHAnsi"/>
        </w:rPr>
      </w:pPr>
      <w:r w:rsidRPr="008313ED">
        <w:rPr>
          <w:rFonts w:asciiTheme="minorHAnsi" w:hAnsiTheme="minorHAnsi"/>
        </w:rPr>
        <w:t>Other PFAA precursors and related compounds - perfluoroalkyl ones</w:t>
      </w:r>
    </w:p>
    <w:p w14:paraId="62780F12" w14:textId="3358ACA0" w:rsidR="00240684" w:rsidRPr="008313ED" w:rsidRDefault="00240684" w:rsidP="00240684">
      <w:pPr>
        <w:pStyle w:val="ListParagraph"/>
        <w:widowControl w:val="0"/>
        <w:numPr>
          <w:ilvl w:val="0"/>
          <w:numId w:val="40"/>
        </w:numPr>
        <w:autoSpaceDE w:val="0"/>
        <w:autoSpaceDN w:val="0"/>
        <w:spacing w:before="0" w:after="0"/>
        <w:contextualSpacing w:val="0"/>
        <w:rPr>
          <w:rFonts w:asciiTheme="minorHAnsi" w:hAnsiTheme="minorHAnsi"/>
        </w:rPr>
      </w:pPr>
      <w:r w:rsidRPr="008313ED">
        <w:rPr>
          <w:rFonts w:asciiTheme="minorHAnsi" w:hAnsiTheme="minorHAnsi"/>
        </w:rPr>
        <w:t xml:space="preserve">Other PFAA precursors or related compounds – </w:t>
      </w:r>
      <w:r w:rsidR="00B530E4" w:rsidRPr="008313ED">
        <w:rPr>
          <w:rFonts w:asciiTheme="minorHAnsi" w:hAnsiTheme="minorHAnsi"/>
        </w:rPr>
        <w:t>semi fluorinated</w:t>
      </w:r>
    </w:p>
    <w:p w14:paraId="32E7230C" w14:textId="77777777" w:rsidR="00240684" w:rsidRPr="008313ED" w:rsidRDefault="00240684" w:rsidP="00240684">
      <w:pPr>
        <w:pStyle w:val="ListParagraph"/>
        <w:widowControl w:val="0"/>
        <w:numPr>
          <w:ilvl w:val="0"/>
          <w:numId w:val="40"/>
        </w:numPr>
        <w:autoSpaceDE w:val="0"/>
        <w:autoSpaceDN w:val="0"/>
        <w:spacing w:before="0" w:after="0"/>
        <w:contextualSpacing w:val="0"/>
        <w:rPr>
          <w:rFonts w:asciiTheme="minorHAnsi" w:hAnsiTheme="minorHAnsi"/>
        </w:rPr>
      </w:pPr>
      <w:r w:rsidRPr="008313ED">
        <w:rPr>
          <w:rFonts w:asciiTheme="minorHAnsi" w:hAnsiTheme="minorHAnsi"/>
        </w:rPr>
        <w:t>Fluoropolymers</w:t>
      </w:r>
    </w:p>
    <w:p w14:paraId="770C2102" w14:textId="7E64E668" w:rsidR="00240684" w:rsidRPr="008313ED" w:rsidRDefault="00240684" w:rsidP="00A9000B">
      <w:pPr>
        <w:tabs>
          <w:tab w:val="left" w:pos="720"/>
        </w:tabs>
        <w:rPr>
          <w:rFonts w:asciiTheme="minorHAnsi" w:hAnsiTheme="minorHAnsi"/>
        </w:rPr>
      </w:pPr>
      <w:r w:rsidRPr="008313ED">
        <w:rPr>
          <w:rFonts w:asciiTheme="minorHAnsi" w:hAnsiTheme="minorHAnsi"/>
        </w:rPr>
        <w:t xml:space="preserve">The chemical “functional group” classes are listed at the end of EICG Appendix A-I, and their reporting provisions are covered in Sections II.H. and VIII.E.(3) of the EICG and Note [22] to EICG Appendix A.  </w:t>
      </w:r>
    </w:p>
    <w:p w14:paraId="275B4788" w14:textId="45338074" w:rsidR="00240684" w:rsidRPr="008313ED" w:rsidRDefault="6A79A0BF" w:rsidP="00A9000B">
      <w:pPr>
        <w:pStyle w:val="Heading3"/>
        <w:rPr>
          <w:rFonts w:asciiTheme="minorHAnsi" w:hAnsiTheme="minorHAnsi"/>
        </w:rPr>
      </w:pPr>
      <w:bookmarkStart w:id="50" w:name="_Toc187305881"/>
      <w:r w:rsidRPr="008313ED">
        <w:rPr>
          <w:rFonts w:asciiTheme="minorHAnsi" w:hAnsiTheme="minorHAnsi"/>
        </w:rPr>
        <w:t>How do functional groups get reported in CEIDARS</w:t>
      </w:r>
      <w:r w:rsidR="00E74836" w:rsidRPr="008313ED">
        <w:rPr>
          <w:rStyle w:val="FootnoteReference"/>
          <w:rFonts w:asciiTheme="minorHAnsi" w:hAnsiTheme="minorHAnsi"/>
        </w:rPr>
        <w:footnoteReference w:id="15"/>
      </w:r>
      <w:r w:rsidRPr="008313ED">
        <w:rPr>
          <w:rFonts w:asciiTheme="minorHAnsi" w:hAnsiTheme="minorHAnsi"/>
        </w:rPr>
        <w:t>?</w:t>
      </w:r>
      <w:bookmarkEnd w:id="50"/>
    </w:p>
    <w:p w14:paraId="5A5A9652" w14:textId="6B87E6B7" w:rsidR="00A9000B" w:rsidRPr="008313ED" w:rsidRDefault="00240684">
      <w:pPr>
        <w:rPr>
          <w:rFonts w:asciiTheme="minorHAnsi" w:eastAsia="Times New Roman" w:hAnsiTheme="minorHAnsi"/>
        </w:rPr>
      </w:pPr>
      <w:r w:rsidRPr="008313ED">
        <w:rPr>
          <w:rFonts w:asciiTheme="minorHAnsi" w:eastAsia="Times New Roman" w:hAnsiTheme="minorHAnsi"/>
        </w:rPr>
        <w:t xml:space="preserve">The facility operator should report the CAS number and complete chemical name for any substance meeting the definition of this functional group class as defined above. The </w:t>
      </w:r>
      <w:hyperlink r:id="rId48" w:history="1">
        <w:r w:rsidRPr="008313ED">
          <w:rPr>
            <w:rStyle w:val="Hyperlink"/>
            <w:rFonts w:asciiTheme="minorHAnsi" w:eastAsia="Times New Roman" w:hAnsiTheme="minorHAnsi"/>
          </w:rPr>
          <w:t>Supplemental Use Production Form (S-UP)</w:t>
        </w:r>
      </w:hyperlink>
      <w:r w:rsidRPr="008313ED">
        <w:rPr>
          <w:rFonts w:asciiTheme="minorHAnsi" w:eastAsia="Times New Roman" w:hAnsiTheme="minorHAnsi"/>
        </w:rPr>
        <w:t xml:space="preserve"> </w:t>
      </w:r>
      <w:r w:rsidR="35FAD1FE" w:rsidRPr="008313ED">
        <w:rPr>
          <w:rFonts w:asciiTheme="minorHAnsi" w:eastAsia="Times New Roman" w:hAnsiTheme="minorHAnsi"/>
        </w:rPr>
        <w:t>transaction</w:t>
      </w:r>
      <w:r w:rsidR="594C6028" w:rsidRPr="008313ED">
        <w:rPr>
          <w:rFonts w:asciiTheme="minorHAnsi" w:eastAsia="Times New Roman" w:hAnsiTheme="minorHAnsi"/>
        </w:rPr>
        <w:t xml:space="preserve"> format</w:t>
      </w:r>
      <w:r w:rsidR="102EF77A" w:rsidRPr="008313ED">
        <w:rPr>
          <w:rFonts w:asciiTheme="minorHAnsi" w:eastAsia="Times New Roman" w:hAnsiTheme="minorHAnsi"/>
        </w:rPr>
        <w:t xml:space="preserve"> </w:t>
      </w:r>
      <w:r w:rsidRPr="008313ED">
        <w:rPr>
          <w:rFonts w:asciiTheme="minorHAnsi" w:eastAsia="Times New Roman" w:hAnsiTheme="minorHAnsi"/>
        </w:rPr>
        <w:t>is being modified to allow reporting of a new chemical name, as well as the CAS number.</w:t>
      </w:r>
      <w:r w:rsidR="008D03D9" w:rsidRPr="008313ED">
        <w:rPr>
          <w:rFonts w:asciiTheme="minorHAnsi" w:eastAsia="Times New Roman" w:hAnsiTheme="minorHAnsi"/>
        </w:rPr>
        <w:t xml:space="preserve"> </w:t>
      </w:r>
      <w:r w:rsidR="001D0088" w:rsidRPr="008313ED">
        <w:rPr>
          <w:rFonts w:asciiTheme="minorHAnsi" w:eastAsia="Times New Roman" w:hAnsiTheme="minorHAnsi"/>
        </w:rPr>
        <w:t>Please see EICG Appendix B-II page 27</w:t>
      </w:r>
      <w:r w:rsidR="00F241BA" w:rsidRPr="008313ED">
        <w:rPr>
          <w:rFonts w:asciiTheme="minorHAnsi" w:eastAsia="Times New Roman" w:hAnsiTheme="minorHAnsi"/>
        </w:rPr>
        <w:t>-30</w:t>
      </w:r>
      <w:r w:rsidR="001625F6" w:rsidRPr="008313ED">
        <w:rPr>
          <w:rFonts w:asciiTheme="minorHAnsi" w:eastAsia="Times New Roman" w:hAnsiTheme="minorHAnsi"/>
        </w:rPr>
        <w:t xml:space="preserve"> for more information</w:t>
      </w:r>
      <w:r w:rsidR="00F161B8" w:rsidRPr="008313ED">
        <w:rPr>
          <w:rFonts w:asciiTheme="minorHAnsi" w:eastAsia="Times New Roman" w:hAnsiTheme="minorHAnsi"/>
        </w:rPr>
        <w:t xml:space="preserve">, including the </w:t>
      </w:r>
      <w:r w:rsidR="00F241BA" w:rsidRPr="008313ED">
        <w:rPr>
          <w:rFonts w:asciiTheme="minorHAnsi" w:eastAsia="Times New Roman" w:hAnsiTheme="minorHAnsi"/>
        </w:rPr>
        <w:t xml:space="preserve">reporting form. </w:t>
      </w:r>
      <w:r w:rsidRPr="008313ED">
        <w:rPr>
          <w:rFonts w:asciiTheme="minorHAnsi" w:eastAsia="Times New Roman" w:hAnsiTheme="minorHAnsi"/>
        </w:rPr>
        <w:t xml:space="preserve"> </w:t>
      </w:r>
    </w:p>
    <w:p w14:paraId="2CDB7EDC" w14:textId="7EB96B75" w:rsidR="00240684" w:rsidRPr="008313ED" w:rsidRDefault="6A79A0BF" w:rsidP="00B2468C">
      <w:pPr>
        <w:pStyle w:val="Heading1"/>
        <w:rPr>
          <w:rFonts w:asciiTheme="minorHAnsi" w:hAnsiTheme="minorHAnsi"/>
        </w:rPr>
      </w:pPr>
      <w:bookmarkStart w:id="51" w:name="_Toc187305882"/>
      <w:r w:rsidRPr="008313ED">
        <w:rPr>
          <w:rFonts w:asciiTheme="minorHAnsi" w:hAnsiTheme="minorHAnsi"/>
        </w:rPr>
        <w:t xml:space="preserve">New </w:t>
      </w:r>
      <w:r w:rsidR="3F1AC80F" w:rsidRPr="008313ED">
        <w:rPr>
          <w:rFonts w:asciiTheme="minorHAnsi" w:hAnsiTheme="minorHAnsi"/>
        </w:rPr>
        <w:t xml:space="preserve">Chemicals, Health Values </w:t>
      </w:r>
      <w:r w:rsidRPr="008313ED">
        <w:rPr>
          <w:rFonts w:asciiTheme="minorHAnsi" w:hAnsiTheme="minorHAnsi"/>
        </w:rPr>
        <w:t>and Prioritization</w:t>
      </w:r>
      <w:bookmarkEnd w:id="51"/>
    </w:p>
    <w:p w14:paraId="0AD28C50" w14:textId="5E64127C" w:rsidR="00240684" w:rsidRPr="008313ED" w:rsidRDefault="6A79A0BF" w:rsidP="00A9000B">
      <w:pPr>
        <w:pStyle w:val="Heading3"/>
        <w:rPr>
          <w:rFonts w:asciiTheme="minorHAnsi" w:hAnsiTheme="minorHAnsi"/>
        </w:rPr>
      </w:pPr>
      <w:bookmarkStart w:id="52" w:name="_Toc187305883"/>
      <w:r w:rsidRPr="008313ED">
        <w:rPr>
          <w:rFonts w:asciiTheme="minorHAnsi" w:hAnsiTheme="minorHAnsi"/>
        </w:rPr>
        <w:t>How can I notify CARB about a new chemical of concern?</w:t>
      </w:r>
      <w:bookmarkEnd w:id="52"/>
    </w:p>
    <w:p w14:paraId="03274D53" w14:textId="35EAD051" w:rsidR="00240684" w:rsidRPr="008313ED" w:rsidRDefault="00A9000B" w:rsidP="00A9000B">
      <w:pPr>
        <w:spacing w:after="240"/>
        <w:contextualSpacing/>
        <w:rPr>
          <w:rFonts w:asciiTheme="minorHAnsi" w:hAnsiTheme="minorHAnsi"/>
          <w:bdr w:val="none" w:sz="0" w:space="0" w:color="auto" w:frame="1"/>
          <w:shd w:val="clear" w:color="auto" w:fill="FFFFFF"/>
        </w:rPr>
      </w:pPr>
      <w:r w:rsidRPr="008313ED">
        <w:rPr>
          <w:rFonts w:asciiTheme="minorHAnsi" w:hAnsiTheme="minorHAnsi"/>
          <w:bdr w:val="none" w:sz="0" w:space="0" w:color="auto" w:frame="1"/>
          <w:shd w:val="clear" w:color="auto" w:fill="FFFFFF"/>
        </w:rPr>
        <w:t xml:space="preserve">An </w:t>
      </w:r>
      <w:r w:rsidR="00240684" w:rsidRPr="008313ED">
        <w:rPr>
          <w:rFonts w:asciiTheme="minorHAnsi" w:hAnsiTheme="minorHAnsi"/>
          <w:bdr w:val="none" w:sz="0" w:space="0" w:color="auto" w:frame="1"/>
          <w:shd w:val="clear" w:color="auto" w:fill="FFFFFF"/>
        </w:rPr>
        <w:t>interested party may submit a petition to the Executive Officer of the state board to request the addition of one or more substances to Appendix A</w:t>
      </w:r>
      <w:r w:rsidR="00240684" w:rsidRPr="008313ED">
        <w:rPr>
          <w:rFonts w:asciiTheme="minorHAnsi" w:hAnsiTheme="minorHAnsi"/>
        </w:rPr>
        <w:t xml:space="preserve"> </w:t>
      </w:r>
      <w:r w:rsidR="00240684" w:rsidRPr="008313ED">
        <w:rPr>
          <w:rFonts w:asciiTheme="minorHAnsi" w:hAnsiTheme="minorHAnsi"/>
          <w:bdr w:val="none" w:sz="0" w:space="0" w:color="auto" w:frame="1"/>
          <w:shd w:val="clear" w:color="auto" w:fill="FFFFFF"/>
        </w:rPr>
        <w:t xml:space="preserve">via </w:t>
      </w:r>
      <w:hyperlink r:id="rId49" w:history="1">
        <w:r w:rsidR="00240684" w:rsidRPr="008313ED">
          <w:rPr>
            <w:rStyle w:val="Hyperlink"/>
            <w:rFonts w:asciiTheme="minorHAnsi" w:hAnsiTheme="minorHAnsi"/>
            <w:bdr w:val="none" w:sz="0" w:space="0" w:color="auto" w:frame="1"/>
            <w:shd w:val="clear" w:color="auto" w:fill="FFFFFF"/>
          </w:rPr>
          <w:t>ab2588ei@arb.ca.gov</w:t>
        </w:r>
      </w:hyperlink>
      <w:r w:rsidR="00240684" w:rsidRPr="008313ED">
        <w:rPr>
          <w:rFonts w:asciiTheme="minorHAnsi" w:hAnsiTheme="minorHAnsi"/>
          <w:bdr w:val="none" w:sz="0" w:space="0" w:color="auto" w:frame="1"/>
          <w:shd w:val="clear" w:color="auto" w:fill="FFFFFF"/>
        </w:rPr>
        <w:t xml:space="preserve"> . The petition must include the chemical name (common name or IUPAC) and any information the interested party has on the chemical (e.g., where it may be emitted from, literature on the potential for chronic or acute health concerns, the potential for the substance to become </w:t>
      </w:r>
      <w:proofErr w:type="gramStart"/>
      <w:r w:rsidR="00240684" w:rsidRPr="008313ED">
        <w:rPr>
          <w:rFonts w:asciiTheme="minorHAnsi" w:hAnsiTheme="minorHAnsi"/>
          <w:bdr w:val="none" w:sz="0" w:space="0" w:color="auto" w:frame="1"/>
          <w:shd w:val="clear" w:color="auto" w:fill="FFFFFF"/>
        </w:rPr>
        <w:t>an airborne</w:t>
      </w:r>
      <w:proofErr w:type="gramEnd"/>
      <w:r w:rsidR="00240684" w:rsidRPr="008313ED">
        <w:rPr>
          <w:rFonts w:asciiTheme="minorHAnsi" w:hAnsiTheme="minorHAnsi"/>
          <w:bdr w:val="none" w:sz="0" w:space="0" w:color="auto" w:frame="1"/>
          <w:shd w:val="clear" w:color="auto" w:fill="FFFFFF"/>
        </w:rPr>
        <w:t xml:space="preserve">, and the CAS number, if available). The Executive Officer will acknowledge the request within 90 business days, and if appropriate (as authorized by </w:t>
      </w:r>
      <w:r w:rsidR="003D5FD9" w:rsidRPr="008313ED">
        <w:rPr>
          <w:rFonts w:asciiTheme="minorHAnsi" w:hAnsiTheme="minorHAnsi"/>
          <w:bdr w:val="none" w:sz="0" w:space="0" w:color="auto" w:frame="1"/>
          <w:shd w:val="clear" w:color="auto" w:fill="FFFFFF"/>
        </w:rPr>
        <w:t>HSC</w:t>
      </w:r>
      <w:r w:rsidR="00240684" w:rsidRPr="008313ED">
        <w:rPr>
          <w:rFonts w:asciiTheme="minorHAnsi" w:hAnsiTheme="minorHAnsi"/>
          <w:bdr w:val="none" w:sz="0" w:space="0" w:color="auto" w:frame="1"/>
          <w:shd w:val="clear" w:color="auto" w:fill="FFFFFF"/>
        </w:rPr>
        <w:t xml:space="preserve"> </w:t>
      </w:r>
      <w:r w:rsidR="003D5FD9" w:rsidRPr="008313ED">
        <w:rPr>
          <w:rFonts w:asciiTheme="minorHAnsi" w:hAnsiTheme="minorHAnsi"/>
        </w:rPr>
        <w:t>§</w:t>
      </w:r>
      <w:r w:rsidR="00240684" w:rsidRPr="008313ED">
        <w:rPr>
          <w:rFonts w:asciiTheme="minorHAnsi" w:hAnsiTheme="minorHAnsi"/>
          <w:bdr w:val="none" w:sz="0" w:space="0" w:color="auto" w:frame="1"/>
          <w:shd w:val="clear" w:color="auto" w:fill="FFFFFF"/>
        </w:rPr>
        <w:t>44321, subdivision (f)), the addition of the substance will be considered for the next update of Appendix A. See EICG Section II.H(4).</w:t>
      </w:r>
    </w:p>
    <w:p w14:paraId="26DDE1B2" w14:textId="438773A2" w:rsidR="00240684" w:rsidRPr="008313ED" w:rsidRDefault="1485631F" w:rsidP="00A9000B">
      <w:pPr>
        <w:pStyle w:val="Heading3"/>
        <w:rPr>
          <w:rFonts w:asciiTheme="minorHAnsi" w:hAnsiTheme="minorHAnsi"/>
        </w:rPr>
      </w:pPr>
      <w:bookmarkStart w:id="53" w:name="_Toc187305884"/>
      <w:r w:rsidRPr="008313ED">
        <w:rPr>
          <w:rFonts w:asciiTheme="minorHAnsi" w:hAnsiTheme="minorHAnsi"/>
        </w:rPr>
        <w:t>How</w:t>
      </w:r>
      <w:r w:rsidR="6A79A0BF" w:rsidRPr="008313ED">
        <w:rPr>
          <w:rFonts w:asciiTheme="minorHAnsi" w:hAnsiTheme="minorHAnsi"/>
        </w:rPr>
        <w:t xml:space="preserve"> does CARB prioritize new chemicals of concern?</w:t>
      </w:r>
      <w:bookmarkEnd w:id="53"/>
      <w:r w:rsidR="6A79A0BF" w:rsidRPr="008313ED">
        <w:rPr>
          <w:rFonts w:asciiTheme="minorHAnsi" w:hAnsiTheme="minorHAnsi"/>
        </w:rPr>
        <w:t xml:space="preserve"> </w:t>
      </w:r>
    </w:p>
    <w:p w14:paraId="4EF566DA" w14:textId="15DA92C2" w:rsidR="00240684" w:rsidRPr="008313ED" w:rsidRDefault="00240684" w:rsidP="00A9000B">
      <w:pPr>
        <w:rPr>
          <w:rFonts w:asciiTheme="minorHAnsi" w:eastAsia="Times New Roman" w:hAnsiTheme="minorHAnsi"/>
        </w:rPr>
      </w:pPr>
      <w:r w:rsidRPr="008313ED">
        <w:rPr>
          <w:rFonts w:asciiTheme="minorHAnsi" w:eastAsia="Times New Roman" w:hAnsiTheme="minorHAnsi"/>
        </w:rPr>
        <w:t xml:space="preserve">As part of the </w:t>
      </w:r>
      <w:r w:rsidR="00BB4EB6" w:rsidRPr="008313ED">
        <w:rPr>
          <w:rFonts w:asciiTheme="minorHAnsi" w:eastAsia="Times New Roman" w:hAnsiTheme="minorHAnsi"/>
        </w:rPr>
        <w:t>Hot Spots</w:t>
      </w:r>
      <w:r w:rsidRPr="008313ED">
        <w:rPr>
          <w:rFonts w:asciiTheme="minorHAnsi" w:eastAsia="Times New Roman" w:hAnsiTheme="minorHAnsi"/>
        </w:rPr>
        <w:t xml:space="preserve"> Program, CARB and OEHHA have a contract agreement that includes priorities for the </w:t>
      </w:r>
      <w:r w:rsidR="00BB4EB6" w:rsidRPr="008313ED">
        <w:rPr>
          <w:rFonts w:asciiTheme="minorHAnsi" w:eastAsia="Times New Roman" w:hAnsiTheme="minorHAnsi"/>
        </w:rPr>
        <w:t>Hot Spots</w:t>
      </w:r>
      <w:r w:rsidRPr="008313ED">
        <w:rPr>
          <w:rFonts w:asciiTheme="minorHAnsi" w:eastAsia="Times New Roman" w:hAnsiTheme="minorHAnsi"/>
        </w:rPr>
        <w:t xml:space="preserve"> Program including the list of chemicals. The AB 2588 </w:t>
      </w:r>
      <w:r w:rsidR="003F2F28" w:rsidRPr="008313ED">
        <w:rPr>
          <w:rFonts w:asciiTheme="minorHAnsi" w:eastAsia="Times New Roman" w:hAnsiTheme="minorHAnsi"/>
        </w:rPr>
        <w:t>Hot Spots</w:t>
      </w:r>
      <w:r w:rsidRPr="008313ED">
        <w:rPr>
          <w:rFonts w:asciiTheme="minorHAnsi" w:eastAsia="Times New Roman" w:hAnsiTheme="minorHAnsi"/>
        </w:rPr>
        <w:t xml:space="preserve"> fees that facilities pay based on their health risk levels fund this contract work.</w:t>
      </w:r>
      <w:r w:rsidRPr="008313ED">
        <w:rPr>
          <w:rFonts w:asciiTheme="minorHAnsi" w:hAnsiTheme="minorHAnsi"/>
          <w:bCs/>
        </w:rPr>
        <w:t xml:space="preserve"> In this contract, OEHHA </w:t>
      </w:r>
      <w:r w:rsidRPr="008313ED">
        <w:rPr>
          <w:rFonts w:asciiTheme="minorHAnsi" w:hAnsiTheme="minorHAnsi"/>
        </w:rPr>
        <w:t xml:space="preserve">assists </w:t>
      </w:r>
      <w:r w:rsidRPr="008313ED">
        <w:rPr>
          <w:rFonts w:asciiTheme="minorHAnsi" w:hAnsiTheme="minorHAnsi"/>
          <w:bCs/>
        </w:rPr>
        <w:t xml:space="preserve">CARB and the districts in </w:t>
      </w:r>
      <w:r w:rsidRPr="008313ED">
        <w:rPr>
          <w:rFonts w:asciiTheme="minorHAnsi" w:hAnsiTheme="minorHAnsi"/>
        </w:rPr>
        <w:t xml:space="preserve">all aspects of the </w:t>
      </w:r>
      <w:r w:rsidR="00BB4EB6" w:rsidRPr="008313ED">
        <w:rPr>
          <w:rFonts w:asciiTheme="minorHAnsi" w:hAnsiTheme="minorHAnsi"/>
        </w:rPr>
        <w:t>Hot Spots</w:t>
      </w:r>
      <w:r w:rsidRPr="008313ED">
        <w:rPr>
          <w:rFonts w:asciiTheme="minorHAnsi" w:hAnsiTheme="minorHAnsi"/>
        </w:rPr>
        <w:t xml:space="preserve"> Program that involve identifying, </w:t>
      </w:r>
      <w:r w:rsidRPr="008313ED">
        <w:rPr>
          <w:rFonts w:asciiTheme="minorHAnsi" w:hAnsiTheme="minorHAnsi"/>
          <w:bCs/>
        </w:rPr>
        <w:t>assessing</w:t>
      </w:r>
      <w:r w:rsidRPr="008313ED">
        <w:rPr>
          <w:rFonts w:asciiTheme="minorHAnsi" w:hAnsiTheme="minorHAnsi"/>
        </w:rPr>
        <w:t>, and communicating</w:t>
      </w:r>
      <w:r w:rsidRPr="008313ED">
        <w:rPr>
          <w:rFonts w:asciiTheme="minorHAnsi" w:hAnsiTheme="minorHAnsi"/>
          <w:bCs/>
        </w:rPr>
        <w:t xml:space="preserve"> the health effects </w:t>
      </w:r>
      <w:r w:rsidRPr="008313ED">
        <w:rPr>
          <w:rFonts w:asciiTheme="minorHAnsi" w:hAnsiTheme="minorHAnsi"/>
        </w:rPr>
        <w:t>of toxic and potentially toxic</w:t>
      </w:r>
      <w:r w:rsidRPr="008313ED">
        <w:rPr>
          <w:rFonts w:asciiTheme="minorHAnsi" w:hAnsiTheme="minorHAnsi"/>
          <w:bCs/>
        </w:rPr>
        <w:t xml:space="preserve"> substances.</w:t>
      </w:r>
      <w:r w:rsidRPr="008313ED" w:rsidDel="005A5F32">
        <w:rPr>
          <w:rFonts w:asciiTheme="minorHAnsi" w:hAnsiTheme="minorHAnsi"/>
          <w:bCs/>
        </w:rPr>
        <w:t xml:space="preserve"> </w:t>
      </w:r>
      <w:r w:rsidR="2D7693AC" w:rsidRPr="008313ED">
        <w:rPr>
          <w:rFonts w:asciiTheme="minorHAnsi" w:hAnsiTheme="minorHAnsi"/>
        </w:rPr>
        <w:t>This includes</w:t>
      </w:r>
      <w:r w:rsidR="546EC0A2" w:rsidRPr="008313ED">
        <w:rPr>
          <w:rFonts w:asciiTheme="minorHAnsi" w:hAnsiTheme="minorHAnsi"/>
        </w:rPr>
        <w:t xml:space="preserve"> </w:t>
      </w:r>
      <w:r w:rsidR="69E932C0" w:rsidRPr="008313ED">
        <w:rPr>
          <w:rFonts w:asciiTheme="minorHAnsi" w:hAnsiTheme="minorHAnsi"/>
        </w:rPr>
        <w:t xml:space="preserve">thorough </w:t>
      </w:r>
      <w:r w:rsidR="546EC0A2" w:rsidRPr="008313ED">
        <w:rPr>
          <w:rFonts w:asciiTheme="minorHAnsi" w:hAnsiTheme="minorHAnsi"/>
        </w:rPr>
        <w:t xml:space="preserve">review of </w:t>
      </w:r>
      <w:r w:rsidR="423DB022" w:rsidRPr="008313ED">
        <w:rPr>
          <w:rFonts w:asciiTheme="minorHAnsi" w:hAnsiTheme="minorHAnsi"/>
        </w:rPr>
        <w:t xml:space="preserve">candidate chemicals for inclusion on the </w:t>
      </w:r>
      <w:r w:rsidR="6E8DC1F5" w:rsidRPr="008313ED">
        <w:rPr>
          <w:rFonts w:asciiTheme="minorHAnsi" w:hAnsiTheme="minorHAnsi"/>
        </w:rPr>
        <w:t xml:space="preserve">EICG </w:t>
      </w:r>
      <w:r w:rsidR="423DB022" w:rsidRPr="008313ED">
        <w:rPr>
          <w:rFonts w:asciiTheme="minorHAnsi" w:hAnsiTheme="minorHAnsi"/>
        </w:rPr>
        <w:t>Appendix A list of substances</w:t>
      </w:r>
      <w:r w:rsidR="50DBA2A0" w:rsidRPr="008313ED">
        <w:rPr>
          <w:rFonts w:asciiTheme="minorHAnsi" w:hAnsiTheme="minorHAnsi"/>
        </w:rPr>
        <w:t>, based on</w:t>
      </w:r>
      <w:r w:rsidR="1386C541" w:rsidRPr="008313ED">
        <w:rPr>
          <w:rFonts w:asciiTheme="minorHAnsi" w:hAnsiTheme="minorHAnsi"/>
        </w:rPr>
        <w:t xml:space="preserve"> the source references and authority provided in Health and Safety Code </w:t>
      </w:r>
      <w:r w:rsidR="1A692FEA" w:rsidRPr="008313ED">
        <w:rPr>
          <w:rFonts w:asciiTheme="minorHAnsi" w:hAnsiTheme="minorHAnsi"/>
        </w:rPr>
        <w:t>section 44321.</w:t>
      </w:r>
      <w:r w:rsidR="102EF77A" w:rsidRPr="008313ED">
        <w:rPr>
          <w:rFonts w:asciiTheme="minorHAnsi" w:hAnsiTheme="minorHAnsi"/>
        </w:rPr>
        <w:t xml:space="preserve"> This </w:t>
      </w:r>
      <w:r w:rsidR="4AE52962" w:rsidRPr="008313ED">
        <w:rPr>
          <w:rFonts w:asciiTheme="minorHAnsi" w:hAnsiTheme="minorHAnsi"/>
        </w:rPr>
        <w:t>also</w:t>
      </w:r>
      <w:r w:rsidRPr="008313ED">
        <w:rPr>
          <w:rFonts w:asciiTheme="minorHAnsi" w:hAnsiTheme="minorHAnsi"/>
          <w:bCs/>
        </w:rPr>
        <w:t xml:space="preserve"> includes </w:t>
      </w:r>
      <w:r w:rsidRPr="008313ED">
        <w:rPr>
          <w:rFonts w:asciiTheme="minorHAnsi" w:hAnsiTheme="minorHAnsi"/>
        </w:rPr>
        <w:t xml:space="preserve">the development of acute, 8 hour, and chronic Reference Exposure Levels (RELs) and Cancer Potency Factors </w:t>
      </w:r>
      <w:r w:rsidR="6750A569" w:rsidRPr="008313ED">
        <w:rPr>
          <w:rFonts w:asciiTheme="minorHAnsi" w:hAnsiTheme="minorHAnsi"/>
        </w:rPr>
        <w:t xml:space="preserve">by OEHHA </w:t>
      </w:r>
      <w:r w:rsidR="102EF77A" w:rsidRPr="008313ED">
        <w:rPr>
          <w:rFonts w:asciiTheme="minorHAnsi" w:hAnsiTheme="minorHAnsi"/>
        </w:rPr>
        <w:t>for substances</w:t>
      </w:r>
      <w:r w:rsidR="1135D0BF" w:rsidRPr="008313ED">
        <w:rPr>
          <w:rFonts w:asciiTheme="minorHAnsi" w:hAnsiTheme="minorHAnsi"/>
        </w:rPr>
        <w:t xml:space="preserve"> </w:t>
      </w:r>
      <w:r w:rsidR="48309F49" w:rsidRPr="008313ED">
        <w:rPr>
          <w:rFonts w:asciiTheme="minorHAnsi" w:hAnsiTheme="minorHAnsi"/>
        </w:rPr>
        <w:t xml:space="preserve">in the </w:t>
      </w:r>
      <w:r w:rsidR="00BB4EB6" w:rsidRPr="008313ED">
        <w:rPr>
          <w:rFonts w:asciiTheme="minorHAnsi" w:hAnsiTheme="minorHAnsi"/>
        </w:rPr>
        <w:t>Hot Spots</w:t>
      </w:r>
      <w:r w:rsidR="48309F49" w:rsidRPr="008313ED">
        <w:rPr>
          <w:rFonts w:asciiTheme="minorHAnsi" w:hAnsiTheme="minorHAnsi"/>
        </w:rPr>
        <w:t xml:space="preserve"> program</w:t>
      </w:r>
      <w:r w:rsidR="6419EC5C" w:rsidRPr="008313ED">
        <w:rPr>
          <w:rFonts w:asciiTheme="minorHAnsi" w:hAnsiTheme="minorHAnsi"/>
        </w:rPr>
        <w:t xml:space="preserve"> (through a process that includes review by the Scientific Review Panel for Toxic Air Contaminants and a public comment process)</w:t>
      </w:r>
      <w:r w:rsidR="487E3BF5" w:rsidRPr="008313ED">
        <w:rPr>
          <w:rFonts w:asciiTheme="minorHAnsi" w:hAnsiTheme="minorHAnsi"/>
        </w:rPr>
        <w:t>.</w:t>
      </w:r>
      <w:r w:rsidRPr="008313ED">
        <w:rPr>
          <w:rFonts w:asciiTheme="minorHAnsi" w:hAnsiTheme="minorHAnsi"/>
        </w:rPr>
        <w:t xml:space="preserve"> </w:t>
      </w:r>
      <w:r w:rsidRPr="008313ED">
        <w:rPr>
          <w:rFonts w:asciiTheme="minorHAnsi" w:hAnsiTheme="minorHAnsi"/>
          <w:bCs/>
        </w:rPr>
        <w:t xml:space="preserve"> </w:t>
      </w:r>
      <w:r w:rsidR="69F17E0A" w:rsidRPr="008313ED">
        <w:rPr>
          <w:rFonts w:asciiTheme="minorHAnsi" w:hAnsiTheme="minorHAnsi"/>
        </w:rPr>
        <w:t>Determining priorities for development of health values</w:t>
      </w:r>
      <w:r w:rsidR="645B6B78" w:rsidRPr="008313ED">
        <w:rPr>
          <w:rFonts w:asciiTheme="minorHAnsi" w:hAnsiTheme="minorHAnsi"/>
        </w:rPr>
        <w:t xml:space="preserve"> entails</w:t>
      </w:r>
      <w:r w:rsidR="69F17E0A" w:rsidRPr="008313ED">
        <w:rPr>
          <w:rFonts w:asciiTheme="minorHAnsi" w:hAnsiTheme="minorHAnsi"/>
        </w:rPr>
        <w:t xml:space="preserve"> </w:t>
      </w:r>
      <w:r w:rsidRPr="008313ED">
        <w:rPr>
          <w:rFonts w:asciiTheme="minorHAnsi" w:hAnsiTheme="minorHAnsi"/>
        </w:rPr>
        <w:t xml:space="preserve">keeping up to date on </w:t>
      </w:r>
      <w:r w:rsidR="7298BB00" w:rsidRPr="008313ED">
        <w:rPr>
          <w:rFonts w:asciiTheme="minorHAnsi" w:hAnsiTheme="minorHAnsi"/>
        </w:rPr>
        <w:t xml:space="preserve">toxicology, epidemiology, </w:t>
      </w:r>
      <w:r w:rsidR="6E64F075" w:rsidRPr="008313ED">
        <w:rPr>
          <w:rFonts w:asciiTheme="minorHAnsi" w:hAnsiTheme="minorHAnsi"/>
        </w:rPr>
        <w:t xml:space="preserve">and </w:t>
      </w:r>
      <w:r w:rsidRPr="008313ED">
        <w:rPr>
          <w:rFonts w:asciiTheme="minorHAnsi" w:hAnsiTheme="minorHAnsi"/>
        </w:rPr>
        <w:t xml:space="preserve">exposure assessment literature as it relates to </w:t>
      </w:r>
      <w:r w:rsidR="003F2F28" w:rsidRPr="008313ED">
        <w:rPr>
          <w:rFonts w:asciiTheme="minorHAnsi" w:hAnsiTheme="minorHAnsi"/>
        </w:rPr>
        <w:t>Hot Spots</w:t>
      </w:r>
      <w:r w:rsidRPr="008313ED">
        <w:rPr>
          <w:rFonts w:asciiTheme="minorHAnsi" w:hAnsiTheme="minorHAnsi"/>
        </w:rPr>
        <w:t xml:space="preserve"> risk </w:t>
      </w:r>
      <w:r w:rsidR="102EF77A" w:rsidRPr="008313ED">
        <w:rPr>
          <w:rFonts w:asciiTheme="minorHAnsi" w:hAnsiTheme="minorHAnsi"/>
        </w:rPr>
        <w:t>assessment</w:t>
      </w:r>
      <w:r w:rsidR="6407AE4D" w:rsidRPr="008313ED">
        <w:rPr>
          <w:rFonts w:asciiTheme="minorHAnsi" w:hAnsiTheme="minorHAnsi"/>
        </w:rPr>
        <w:t>.</w:t>
      </w:r>
      <w:r w:rsidRPr="008313ED">
        <w:rPr>
          <w:rFonts w:asciiTheme="minorHAnsi" w:hAnsiTheme="minorHAnsi"/>
        </w:rPr>
        <w:t xml:space="preserve"> In developing the priority list of substances, OEHHA and CARB discuss what chemicals have emerged within industry as well as the current toxicity studies and community-based concerns. </w:t>
      </w:r>
      <w:r w:rsidRPr="008313ED">
        <w:rPr>
          <w:rFonts w:asciiTheme="minorHAnsi" w:eastAsia="Times New Roman" w:hAnsiTheme="minorHAnsi"/>
        </w:rPr>
        <w:t xml:space="preserve">With the recent EICG 2020 amendments, </w:t>
      </w:r>
      <w:r w:rsidR="1C79261B" w:rsidRPr="008313ED">
        <w:rPr>
          <w:rFonts w:asciiTheme="minorHAnsi" w:eastAsia="Times New Roman" w:hAnsiTheme="minorHAnsi"/>
        </w:rPr>
        <w:t>and with future amendments</w:t>
      </w:r>
      <w:r w:rsidR="102EF77A" w:rsidRPr="008313ED">
        <w:rPr>
          <w:rFonts w:asciiTheme="minorHAnsi" w:eastAsia="Times New Roman" w:hAnsiTheme="minorHAnsi"/>
        </w:rPr>
        <w:t>,</w:t>
      </w:r>
      <w:r w:rsidR="4869304A" w:rsidRPr="008313ED">
        <w:rPr>
          <w:rFonts w:asciiTheme="minorHAnsi" w:eastAsia="Times New Roman" w:hAnsiTheme="minorHAnsi"/>
        </w:rPr>
        <w:t xml:space="preserve"> it is</w:t>
      </w:r>
      <w:r w:rsidR="102EF77A" w:rsidRPr="008313ED">
        <w:rPr>
          <w:rFonts w:asciiTheme="minorHAnsi" w:eastAsia="Times New Roman" w:hAnsiTheme="minorHAnsi"/>
        </w:rPr>
        <w:t xml:space="preserve"> CARB</w:t>
      </w:r>
      <w:r w:rsidR="2E124DB1" w:rsidRPr="008313ED">
        <w:rPr>
          <w:rFonts w:asciiTheme="minorHAnsi" w:eastAsia="Times New Roman" w:hAnsiTheme="minorHAnsi"/>
        </w:rPr>
        <w:t>’s intention</w:t>
      </w:r>
      <w:r w:rsidRPr="008313ED">
        <w:rPr>
          <w:rFonts w:asciiTheme="minorHAnsi" w:eastAsia="Times New Roman" w:hAnsiTheme="minorHAnsi"/>
        </w:rPr>
        <w:t xml:space="preserve"> to update the Appendix A chemical list </w:t>
      </w:r>
      <w:r w:rsidR="32EF179E" w:rsidRPr="008313ED">
        <w:rPr>
          <w:rFonts w:asciiTheme="minorHAnsi" w:eastAsia="Times New Roman" w:hAnsiTheme="minorHAnsi"/>
        </w:rPr>
        <w:t xml:space="preserve">more regularly </w:t>
      </w:r>
      <w:r w:rsidRPr="008313ED">
        <w:rPr>
          <w:rFonts w:asciiTheme="minorHAnsi" w:eastAsia="Times New Roman" w:hAnsiTheme="minorHAnsi"/>
        </w:rPr>
        <w:t xml:space="preserve">as new and emerging </w:t>
      </w:r>
      <w:r w:rsidR="31EF51B0" w:rsidRPr="008313ED">
        <w:rPr>
          <w:rFonts w:asciiTheme="minorHAnsi" w:eastAsia="Times New Roman" w:hAnsiTheme="minorHAnsi"/>
        </w:rPr>
        <w:t xml:space="preserve">chemicals of </w:t>
      </w:r>
      <w:r w:rsidRPr="008313ED">
        <w:rPr>
          <w:rFonts w:asciiTheme="minorHAnsi" w:eastAsia="Times New Roman" w:hAnsiTheme="minorHAnsi"/>
        </w:rPr>
        <w:t xml:space="preserve">concerns </w:t>
      </w:r>
      <w:r w:rsidR="03D5EB00" w:rsidRPr="008313ED">
        <w:rPr>
          <w:rFonts w:asciiTheme="minorHAnsi" w:eastAsia="Times New Roman" w:hAnsiTheme="minorHAnsi"/>
        </w:rPr>
        <w:t xml:space="preserve">are </w:t>
      </w:r>
      <w:r w:rsidRPr="008313ED">
        <w:rPr>
          <w:rFonts w:asciiTheme="minorHAnsi" w:eastAsia="Times New Roman" w:hAnsiTheme="minorHAnsi"/>
        </w:rPr>
        <w:t xml:space="preserve">found through OEHHA’s findings or community concerns. </w:t>
      </w:r>
    </w:p>
    <w:p w14:paraId="639EB6C0" w14:textId="3E5B0481" w:rsidR="00240684" w:rsidRPr="008313ED" w:rsidRDefault="6A79A0BF" w:rsidP="00A9000B">
      <w:pPr>
        <w:pStyle w:val="Heading3"/>
        <w:rPr>
          <w:rFonts w:asciiTheme="minorHAnsi" w:hAnsiTheme="minorHAnsi"/>
        </w:rPr>
      </w:pPr>
      <w:bookmarkStart w:id="54" w:name="_Toc187305885"/>
      <w:r w:rsidRPr="008313ED">
        <w:rPr>
          <w:rFonts w:asciiTheme="minorHAnsi" w:hAnsiTheme="minorHAnsi"/>
        </w:rPr>
        <w:t>What</w:t>
      </w:r>
      <w:r w:rsidRPr="008313ED">
        <w:rPr>
          <w:rFonts w:asciiTheme="minorHAnsi" w:hAnsiTheme="minorHAnsi"/>
          <w:spacing w:val="-2"/>
        </w:rPr>
        <w:t xml:space="preserve"> </w:t>
      </w:r>
      <w:r w:rsidRPr="008313ED">
        <w:rPr>
          <w:rFonts w:asciiTheme="minorHAnsi" w:hAnsiTheme="minorHAnsi"/>
        </w:rPr>
        <w:t>happens</w:t>
      </w:r>
      <w:r w:rsidRPr="008313ED">
        <w:rPr>
          <w:rFonts w:asciiTheme="minorHAnsi" w:hAnsiTheme="minorHAnsi"/>
          <w:spacing w:val="-5"/>
        </w:rPr>
        <w:t xml:space="preserve"> </w:t>
      </w:r>
      <w:r w:rsidRPr="008313ED">
        <w:rPr>
          <w:rFonts w:asciiTheme="minorHAnsi" w:hAnsiTheme="minorHAnsi"/>
        </w:rPr>
        <w:t>when</w:t>
      </w:r>
      <w:r w:rsidRPr="008313ED">
        <w:rPr>
          <w:rFonts w:asciiTheme="minorHAnsi" w:hAnsiTheme="minorHAnsi"/>
          <w:spacing w:val="-3"/>
        </w:rPr>
        <w:t xml:space="preserve"> </w:t>
      </w:r>
      <w:r w:rsidRPr="008313ED">
        <w:rPr>
          <w:rFonts w:asciiTheme="minorHAnsi" w:hAnsiTheme="minorHAnsi"/>
        </w:rPr>
        <w:t>pollutants</w:t>
      </w:r>
      <w:r w:rsidRPr="008313ED">
        <w:rPr>
          <w:rFonts w:asciiTheme="minorHAnsi" w:hAnsiTheme="minorHAnsi"/>
          <w:spacing w:val="-2"/>
        </w:rPr>
        <w:t xml:space="preserve"> </w:t>
      </w:r>
      <w:r w:rsidRPr="008313ED">
        <w:rPr>
          <w:rFonts w:asciiTheme="minorHAnsi" w:hAnsiTheme="minorHAnsi"/>
        </w:rPr>
        <w:t>are</w:t>
      </w:r>
      <w:r w:rsidRPr="008313ED">
        <w:rPr>
          <w:rFonts w:asciiTheme="minorHAnsi" w:hAnsiTheme="minorHAnsi"/>
          <w:spacing w:val="-3"/>
        </w:rPr>
        <w:t xml:space="preserve"> </w:t>
      </w:r>
      <w:r w:rsidRPr="008313ED">
        <w:rPr>
          <w:rFonts w:asciiTheme="minorHAnsi" w:hAnsiTheme="minorHAnsi"/>
        </w:rPr>
        <w:t>assigned</w:t>
      </w:r>
      <w:r w:rsidRPr="008313ED">
        <w:rPr>
          <w:rFonts w:asciiTheme="minorHAnsi" w:hAnsiTheme="minorHAnsi"/>
          <w:spacing w:val="-2"/>
        </w:rPr>
        <w:t xml:space="preserve"> </w:t>
      </w:r>
      <w:r w:rsidRPr="008313ED">
        <w:rPr>
          <w:rFonts w:asciiTheme="minorHAnsi" w:hAnsiTheme="minorHAnsi"/>
        </w:rPr>
        <w:t>a</w:t>
      </w:r>
      <w:r w:rsidRPr="008313ED">
        <w:rPr>
          <w:rFonts w:asciiTheme="minorHAnsi" w:hAnsiTheme="minorHAnsi"/>
          <w:spacing w:val="-3"/>
        </w:rPr>
        <w:t xml:space="preserve"> </w:t>
      </w:r>
      <w:r w:rsidRPr="008313ED">
        <w:rPr>
          <w:rFonts w:asciiTheme="minorHAnsi" w:hAnsiTheme="minorHAnsi"/>
        </w:rPr>
        <w:t>new health</w:t>
      </w:r>
      <w:r w:rsidRPr="008313ED">
        <w:rPr>
          <w:rFonts w:asciiTheme="minorHAnsi" w:hAnsiTheme="minorHAnsi"/>
          <w:spacing w:val="-2"/>
        </w:rPr>
        <w:t xml:space="preserve"> </w:t>
      </w:r>
      <w:r w:rsidRPr="008313ED">
        <w:rPr>
          <w:rFonts w:asciiTheme="minorHAnsi" w:hAnsiTheme="minorHAnsi"/>
        </w:rPr>
        <w:t>value?</w:t>
      </w:r>
      <w:bookmarkEnd w:id="54"/>
    </w:p>
    <w:p w14:paraId="0AA7E3BC" w14:textId="7CDD2AA6" w:rsidR="005E716A" w:rsidRPr="008313ED" w:rsidRDefault="005E716A" w:rsidP="005E716A">
      <w:pPr>
        <w:rPr>
          <w:rFonts w:asciiTheme="minorHAnsi" w:hAnsiTheme="minorHAnsi"/>
        </w:rPr>
      </w:pPr>
      <w:r w:rsidRPr="008313ED">
        <w:rPr>
          <w:rFonts w:asciiTheme="minorHAnsi" w:hAnsiTheme="minorHAnsi"/>
        </w:rPr>
        <w:t>When new health values are adopted by OEHHA, they are included in</w:t>
      </w:r>
      <w:r w:rsidR="00A24F05" w:rsidRPr="008313ED">
        <w:rPr>
          <w:rFonts w:asciiTheme="minorHAnsi" w:hAnsiTheme="minorHAnsi"/>
        </w:rPr>
        <w:t xml:space="preserve"> the H</w:t>
      </w:r>
      <w:r w:rsidR="00525EAB" w:rsidRPr="008313ED">
        <w:rPr>
          <w:rFonts w:asciiTheme="minorHAnsi" w:hAnsiTheme="minorHAnsi"/>
        </w:rPr>
        <w:t>ot Spots Analysis and Reporting Program</w:t>
      </w:r>
      <w:r w:rsidRPr="008313ED">
        <w:rPr>
          <w:rFonts w:asciiTheme="minorHAnsi" w:hAnsiTheme="minorHAnsi"/>
        </w:rPr>
        <w:t xml:space="preserve"> </w:t>
      </w:r>
      <w:r w:rsidR="0034163F" w:rsidRPr="008313ED">
        <w:rPr>
          <w:rFonts w:asciiTheme="minorHAnsi" w:hAnsiTheme="minorHAnsi"/>
        </w:rPr>
        <w:t>Air Dispersion Modeling and Risk Assessment Tool (</w:t>
      </w:r>
      <w:r w:rsidRPr="008313ED">
        <w:rPr>
          <w:rFonts w:asciiTheme="minorHAnsi" w:hAnsiTheme="minorHAnsi"/>
        </w:rPr>
        <w:t>HARP</w:t>
      </w:r>
      <w:r w:rsidR="0034163F" w:rsidRPr="008313ED">
        <w:rPr>
          <w:rFonts w:asciiTheme="minorHAnsi" w:hAnsiTheme="minorHAnsi"/>
        </w:rPr>
        <w:t>)</w:t>
      </w:r>
      <w:r w:rsidRPr="008313ED">
        <w:rPr>
          <w:rFonts w:asciiTheme="minorHAnsi" w:hAnsiTheme="minorHAnsi"/>
        </w:rPr>
        <w:t>.</w:t>
      </w:r>
      <w:r w:rsidRPr="008313ED">
        <w:rPr>
          <w:rFonts w:asciiTheme="minorHAnsi" w:hAnsiTheme="minorHAnsi"/>
          <w:spacing w:val="1"/>
        </w:rPr>
        <w:t xml:space="preserve"> </w:t>
      </w:r>
      <w:r w:rsidRPr="008313ED">
        <w:rPr>
          <w:rFonts w:asciiTheme="minorHAnsi" w:hAnsiTheme="minorHAnsi"/>
        </w:rPr>
        <w:t xml:space="preserve">OEHHA reviews new facility </w:t>
      </w:r>
      <w:r w:rsidR="00240684" w:rsidRPr="008313ED">
        <w:rPr>
          <w:rFonts w:asciiTheme="minorHAnsi" w:hAnsiTheme="minorHAnsi"/>
        </w:rPr>
        <w:t xml:space="preserve">risk assessments and </w:t>
      </w:r>
      <w:r w:rsidRPr="008313ED">
        <w:rPr>
          <w:rFonts w:asciiTheme="minorHAnsi" w:hAnsiTheme="minorHAnsi"/>
        </w:rPr>
        <w:t>confirms</w:t>
      </w:r>
      <w:r w:rsidR="00240684" w:rsidRPr="008313ED">
        <w:rPr>
          <w:rFonts w:asciiTheme="minorHAnsi" w:hAnsiTheme="minorHAnsi"/>
        </w:rPr>
        <w:t xml:space="preserve"> the district </w:t>
      </w:r>
      <w:r w:rsidRPr="008313ED">
        <w:rPr>
          <w:rFonts w:asciiTheme="minorHAnsi" w:hAnsiTheme="minorHAnsi"/>
        </w:rPr>
        <w:t>included</w:t>
      </w:r>
      <w:r w:rsidR="00240684" w:rsidRPr="008313ED">
        <w:rPr>
          <w:rFonts w:asciiTheme="minorHAnsi" w:hAnsiTheme="minorHAnsi"/>
        </w:rPr>
        <w:t xml:space="preserve"> the</w:t>
      </w:r>
      <w:r w:rsidR="00240684" w:rsidRPr="008313ED">
        <w:rPr>
          <w:rFonts w:asciiTheme="minorHAnsi" w:hAnsiTheme="minorHAnsi"/>
          <w:spacing w:val="1"/>
        </w:rPr>
        <w:t xml:space="preserve"> </w:t>
      </w:r>
      <w:r w:rsidR="00240684" w:rsidRPr="008313ED">
        <w:rPr>
          <w:rFonts w:asciiTheme="minorHAnsi" w:hAnsiTheme="minorHAnsi"/>
        </w:rPr>
        <w:t xml:space="preserve">new health value in </w:t>
      </w:r>
      <w:r w:rsidRPr="008313ED">
        <w:rPr>
          <w:rFonts w:asciiTheme="minorHAnsi" w:hAnsiTheme="minorHAnsi"/>
        </w:rPr>
        <w:t>their</w:t>
      </w:r>
      <w:r w:rsidR="00240684" w:rsidRPr="008313ED">
        <w:rPr>
          <w:rFonts w:asciiTheme="minorHAnsi" w:hAnsiTheme="minorHAnsi"/>
        </w:rPr>
        <w:t xml:space="preserve"> risk assessment. The district also reevaluates facilities already subject to</w:t>
      </w:r>
      <w:r w:rsidR="00240684" w:rsidRPr="008313ED">
        <w:rPr>
          <w:rFonts w:asciiTheme="minorHAnsi" w:hAnsiTheme="minorHAnsi"/>
          <w:spacing w:val="1"/>
        </w:rPr>
        <w:t xml:space="preserve"> </w:t>
      </w:r>
      <w:r w:rsidR="00240684" w:rsidRPr="008313ED">
        <w:rPr>
          <w:rFonts w:asciiTheme="minorHAnsi" w:hAnsiTheme="minorHAnsi"/>
        </w:rPr>
        <w:t>AB 2588 that emit substances with new health values to determine if an updated health risk</w:t>
      </w:r>
      <w:r w:rsidR="00240684" w:rsidRPr="008313ED">
        <w:rPr>
          <w:rFonts w:asciiTheme="minorHAnsi" w:hAnsiTheme="minorHAnsi"/>
          <w:spacing w:val="1"/>
        </w:rPr>
        <w:t xml:space="preserve"> </w:t>
      </w:r>
      <w:r w:rsidR="00240684" w:rsidRPr="008313ED">
        <w:rPr>
          <w:rFonts w:asciiTheme="minorHAnsi" w:hAnsiTheme="minorHAnsi"/>
        </w:rPr>
        <w:t>assessment</w:t>
      </w:r>
      <w:r w:rsidR="00240684" w:rsidRPr="008313ED">
        <w:rPr>
          <w:rFonts w:asciiTheme="minorHAnsi" w:hAnsiTheme="minorHAnsi"/>
          <w:spacing w:val="-2"/>
        </w:rPr>
        <w:t xml:space="preserve"> </w:t>
      </w:r>
      <w:r w:rsidR="00240684" w:rsidRPr="008313ED">
        <w:rPr>
          <w:rFonts w:asciiTheme="minorHAnsi" w:hAnsiTheme="minorHAnsi"/>
        </w:rPr>
        <w:t>is</w:t>
      </w:r>
      <w:r w:rsidR="00240684" w:rsidRPr="008313ED">
        <w:rPr>
          <w:rFonts w:asciiTheme="minorHAnsi" w:hAnsiTheme="minorHAnsi"/>
          <w:spacing w:val="-1"/>
        </w:rPr>
        <w:t xml:space="preserve"> </w:t>
      </w:r>
      <w:r w:rsidR="00240684" w:rsidRPr="008313ED">
        <w:rPr>
          <w:rFonts w:asciiTheme="minorHAnsi" w:hAnsiTheme="minorHAnsi"/>
        </w:rPr>
        <w:t xml:space="preserve">necessary. </w:t>
      </w:r>
      <w:r w:rsidRPr="008313ED">
        <w:rPr>
          <w:rFonts w:asciiTheme="minorHAnsi" w:hAnsiTheme="minorHAnsi"/>
        </w:rPr>
        <w:t xml:space="preserve">All current OEHHA health values can be found in the “Consolidated Table” of OEHHA/CARB Approved Risk Assessment Heath Values </w:t>
      </w:r>
      <w:hyperlink r:id="rId50" w:history="1">
        <w:r w:rsidRPr="008313ED">
          <w:rPr>
            <w:rStyle w:val="Hyperlink"/>
            <w:rFonts w:asciiTheme="minorHAnsi" w:hAnsiTheme="minorHAnsi"/>
          </w:rPr>
          <w:t>here</w:t>
        </w:r>
      </w:hyperlink>
      <w:r w:rsidRPr="008313ED">
        <w:rPr>
          <w:rFonts w:asciiTheme="minorHAnsi" w:hAnsiTheme="minorHAnsi"/>
        </w:rPr>
        <w:t xml:space="preserve">. This table continues to get updated when there are new or revised health values adopted. </w:t>
      </w:r>
    </w:p>
    <w:p w14:paraId="6CBEF802" w14:textId="2EE10C76" w:rsidR="00A57F5B" w:rsidRPr="008313ED" w:rsidRDefault="00A57F5B" w:rsidP="00EA02C7">
      <w:pPr>
        <w:rPr>
          <w:rFonts w:asciiTheme="minorHAnsi" w:hAnsiTheme="minorHAnsi"/>
        </w:rPr>
      </w:pPr>
    </w:p>
    <w:sectPr w:rsidR="00A57F5B" w:rsidRPr="008313ED" w:rsidSect="0098261C">
      <w:headerReference w:type="default" r:id="rId51"/>
      <w:footerReference w:type="default" r:id="rId52"/>
      <w:headerReference w:type="first" r:id="rId53"/>
      <w:footerReference w:type="first" r:id="rId54"/>
      <w:type w:val="continuous"/>
      <w:pgSz w:w="12240" w:h="15840"/>
      <w:pgMar w:top="1440" w:right="1080" w:bottom="1440" w:left="1080" w:header="1080" w:footer="10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F0230" w14:textId="77777777" w:rsidR="00170B5E" w:rsidRDefault="00170B5E" w:rsidP="00D765D5">
      <w:pPr>
        <w:spacing w:before="0" w:after="0"/>
      </w:pPr>
      <w:r>
        <w:separator/>
      </w:r>
    </w:p>
  </w:endnote>
  <w:endnote w:type="continuationSeparator" w:id="0">
    <w:p w14:paraId="509EF917" w14:textId="77777777" w:rsidR="00170B5E" w:rsidRDefault="00170B5E" w:rsidP="00D765D5">
      <w:pPr>
        <w:spacing w:before="0" w:after="0"/>
      </w:pPr>
      <w:r>
        <w:continuationSeparator/>
      </w:r>
    </w:p>
  </w:endnote>
  <w:endnote w:type="continuationNotice" w:id="1">
    <w:p w14:paraId="4CEE6CD6" w14:textId="77777777" w:rsidR="00170B5E" w:rsidRDefault="00170B5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LT Std 55 Roman">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venir LT Std 65 Medium">
    <w:charset w:val="00"/>
    <w:family w:val="swiss"/>
    <w:notTrueType/>
    <w:pitch w:val="variable"/>
    <w:sig w:usb0="800000AF" w:usb1="4000204A"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Avenir LT Std 35 Light">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7ED85" w14:textId="582410D4" w:rsidR="00385BEA" w:rsidRDefault="002C7568">
    <w:pPr>
      <w:pStyle w:val="Footer"/>
      <w:tabs>
        <w:tab w:val="clear" w:pos="4320"/>
        <w:tab w:val="clear" w:pos="8640"/>
        <w:tab w:val="center" w:pos="5040"/>
        <w:tab w:val="right" w:pos="10080"/>
      </w:tabs>
    </w:pPr>
    <w:r>
      <w:t>California Air Resources Board</w:t>
    </w:r>
    <w:r w:rsidR="3178A17B">
      <w:t xml:space="preserve"> </w:t>
    </w:r>
    <w:r w:rsidR="00FF6D6E">
      <w:tab/>
    </w:r>
    <w:r w:rsidR="00FF6D6E">
      <w:tab/>
    </w:r>
    <w:r w:rsidR="00210865">
      <w:t>January 9</w:t>
    </w:r>
    <w:r w:rsidR="00385BEA">
      <w:t>, 202</w:t>
    </w:r>
    <w:r w:rsidR="00210865">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1D016" w14:textId="6546256E" w:rsidR="00B5499E" w:rsidRDefault="002C7568">
    <w:pPr>
      <w:pStyle w:val="Footer"/>
      <w:tabs>
        <w:tab w:val="clear" w:pos="4320"/>
        <w:tab w:val="clear" w:pos="8640"/>
        <w:tab w:val="center" w:pos="5040"/>
        <w:tab w:val="right" w:pos="10080"/>
      </w:tabs>
    </w:pPr>
    <w:r>
      <w:t>California Air Resource Board</w:t>
    </w:r>
    <w:r>
      <w:tab/>
    </w:r>
    <w:r>
      <w:fldChar w:fldCharType="begin"/>
    </w:r>
    <w:r>
      <w:instrText xml:space="preserve"> PAGE </w:instrText>
    </w:r>
    <w:r>
      <w:fldChar w:fldCharType="separate"/>
    </w:r>
    <w:r>
      <w:t>1</w:t>
    </w:r>
    <w:r>
      <w:fldChar w:fldCharType="end"/>
    </w:r>
    <w:r>
      <w:tab/>
    </w:r>
    <w:r w:rsidR="006B0B18">
      <w:t>June</w:t>
    </w:r>
    <w: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9FF3B" w14:textId="77777777" w:rsidR="00170B5E" w:rsidRDefault="00170B5E" w:rsidP="00D765D5">
      <w:pPr>
        <w:spacing w:before="0" w:after="0"/>
      </w:pPr>
      <w:r>
        <w:separator/>
      </w:r>
    </w:p>
  </w:footnote>
  <w:footnote w:type="continuationSeparator" w:id="0">
    <w:p w14:paraId="0B3FC599" w14:textId="77777777" w:rsidR="00170B5E" w:rsidRDefault="00170B5E" w:rsidP="00D765D5">
      <w:pPr>
        <w:spacing w:before="0" w:after="0"/>
      </w:pPr>
      <w:r>
        <w:continuationSeparator/>
      </w:r>
    </w:p>
  </w:footnote>
  <w:footnote w:type="continuationNotice" w:id="1">
    <w:p w14:paraId="276BC3F9" w14:textId="77777777" w:rsidR="00170B5E" w:rsidRDefault="00170B5E">
      <w:pPr>
        <w:spacing w:before="0" w:after="0"/>
      </w:pPr>
    </w:p>
  </w:footnote>
  <w:footnote w:id="2">
    <w:p w14:paraId="1F70D119" w14:textId="153F3509" w:rsidR="003C0007" w:rsidRDefault="003C0007">
      <w:pPr>
        <w:pStyle w:val="FootnoteText"/>
      </w:pPr>
      <w:r>
        <w:rPr>
          <w:rStyle w:val="FootnoteReference"/>
        </w:rPr>
        <w:footnoteRef/>
      </w:r>
      <w:r>
        <w:t xml:space="preserve"> </w:t>
      </w:r>
      <w:r w:rsidR="00545C9C" w:rsidRPr="00545C9C">
        <w:t>Some districts proceed directly to the health risk assessment step after the emission inventory report is completed, typically when it is clear the emissions will exceed their prioritization thresholds.  This is allowed under HSC§ 44365(b), 39002, and 40702, which gives districts authority to establish more stringent requirements. </w:t>
      </w:r>
    </w:p>
  </w:footnote>
  <w:footnote w:id="3">
    <w:p w14:paraId="685BC597" w14:textId="77777777" w:rsidR="00A9000B" w:rsidRDefault="00A9000B" w:rsidP="00A9000B">
      <w:pPr>
        <w:pStyle w:val="FootnoteText"/>
      </w:pPr>
      <w:r>
        <w:rPr>
          <w:rStyle w:val="FootnoteReference"/>
        </w:rPr>
        <w:footnoteRef/>
      </w:r>
      <w:r>
        <w:t xml:space="preserve"> (</w:t>
      </w:r>
      <w:hyperlink r:id="rId1" w:history="1">
        <w:r w:rsidRPr="00646FFD">
          <w:rPr>
            <w:rStyle w:val="Hyperlink"/>
          </w:rPr>
          <w:t>US EPA, 2003</w:t>
        </w:r>
      </w:hyperlink>
      <w:r>
        <w:t xml:space="preserve">). Framework for Cumulative Risk Assessment. </w:t>
      </w:r>
    </w:p>
  </w:footnote>
  <w:footnote w:id="4">
    <w:p w14:paraId="23B80F25" w14:textId="77777777" w:rsidR="00A9000B" w:rsidRDefault="00A9000B" w:rsidP="00A9000B">
      <w:pPr>
        <w:pStyle w:val="FootnoteText"/>
      </w:pPr>
      <w:r>
        <w:rPr>
          <w:rStyle w:val="FootnoteReference"/>
        </w:rPr>
        <w:footnoteRef/>
      </w:r>
      <w:r>
        <w:t xml:space="preserve"> (</w:t>
      </w:r>
      <w:hyperlink r:id="rId2" w:history="1">
        <w:r w:rsidRPr="00DC32DE">
          <w:rPr>
            <w:rStyle w:val="Hyperlink"/>
          </w:rPr>
          <w:t>CARB, 2022</w:t>
        </w:r>
      </w:hyperlink>
      <w:r>
        <w:t>). Gasoline Service Station Industrywide Risk Assessment Supplemental Policy Guidance</w:t>
      </w:r>
    </w:p>
  </w:footnote>
  <w:footnote w:id="5">
    <w:p w14:paraId="23AAEDC5" w14:textId="77777777" w:rsidR="006F1D56" w:rsidRDefault="006F1D56" w:rsidP="006F1D56">
      <w:pPr>
        <w:pStyle w:val="FootnoteText"/>
      </w:pPr>
      <w:r>
        <w:rPr>
          <w:rStyle w:val="FootnoteReference"/>
        </w:rPr>
        <w:footnoteRef/>
      </w:r>
      <w:r>
        <w:t xml:space="preserve"> (</w:t>
      </w:r>
      <w:hyperlink r:id="rId3" w:history="1">
        <w:r w:rsidRPr="00874DA9">
          <w:rPr>
            <w:rStyle w:val="Hyperlink"/>
          </w:rPr>
          <w:t>OEHHA, 2023</w:t>
        </w:r>
      </w:hyperlink>
      <w:r>
        <w:t>). The Proposition 65 List. Office of Environmental Health Hazard Assessment</w:t>
      </w:r>
    </w:p>
  </w:footnote>
  <w:footnote w:id="6">
    <w:p w14:paraId="6F7076E7" w14:textId="77777777" w:rsidR="006F1D56" w:rsidRDefault="006F1D56" w:rsidP="006F1D56">
      <w:pPr>
        <w:pStyle w:val="FootnoteText"/>
      </w:pPr>
      <w:r>
        <w:rPr>
          <w:rStyle w:val="FootnoteReference"/>
        </w:rPr>
        <w:footnoteRef/>
      </w:r>
      <w:r>
        <w:t xml:space="preserve"> (</w:t>
      </w:r>
      <w:hyperlink r:id="rId4" w:history="1">
        <w:r w:rsidRPr="00B66B3C">
          <w:rPr>
            <w:rStyle w:val="Hyperlink"/>
          </w:rPr>
          <w:t>IARC, 2020</w:t>
        </w:r>
      </w:hyperlink>
      <w:r>
        <w:t xml:space="preserve">). IARC Monographs on the Identification of Carcinogenic Hazards to Humans. International Agency for Research on Cancer; June 26, 2020. </w:t>
      </w:r>
    </w:p>
  </w:footnote>
  <w:footnote w:id="7">
    <w:p w14:paraId="2A64D4EE" w14:textId="77777777" w:rsidR="00C06C98" w:rsidRDefault="00C06C98" w:rsidP="00C06C98">
      <w:pPr>
        <w:pStyle w:val="FootnoteText"/>
      </w:pPr>
      <w:r>
        <w:rPr>
          <w:rStyle w:val="FootnoteReference"/>
        </w:rPr>
        <w:footnoteRef/>
      </w:r>
      <w:r>
        <w:t xml:space="preserve"> (</w:t>
      </w:r>
      <w:hyperlink r:id="rId5" w:history="1">
        <w:r w:rsidRPr="00D21E61">
          <w:rPr>
            <w:rStyle w:val="Hyperlink"/>
          </w:rPr>
          <w:t>OEHHA, 2020</w:t>
        </w:r>
      </w:hyperlink>
      <w:r>
        <w:t>). p-</w:t>
      </w:r>
      <w:proofErr w:type="spellStart"/>
      <w:r>
        <w:t>chlorobenzotrifluoride</w:t>
      </w:r>
      <w:proofErr w:type="spellEnd"/>
      <w:r>
        <w:t xml:space="preserve"> Cancer Inhalation Unit Risk Factor Technical Support Document for Cancer Potency Factors Appendix B. Published August 2020.</w:t>
      </w:r>
    </w:p>
  </w:footnote>
  <w:footnote w:id="8">
    <w:p w14:paraId="606D0B92" w14:textId="77777777" w:rsidR="0097372D" w:rsidRDefault="0097372D" w:rsidP="0097372D">
      <w:pPr>
        <w:pStyle w:val="FootnoteText"/>
      </w:pPr>
      <w:r>
        <w:rPr>
          <w:rStyle w:val="FootnoteReference"/>
        </w:rPr>
        <w:footnoteRef/>
      </w:r>
      <w:r>
        <w:t xml:space="preserve"> </w:t>
      </w:r>
      <w:hyperlink r:id="rId6" w:history="1">
        <w:r w:rsidRPr="00147B3E">
          <w:rPr>
            <w:rStyle w:val="Hyperlink"/>
          </w:rPr>
          <w:t>(OEHHA, 2019b).</w:t>
        </w:r>
      </w:hyperlink>
      <w:r>
        <w:t xml:space="preserve"> Technical Support Document for Cancer Potency Factors: Methodologies for derivation, listing of available values, and adjustments to allow for early life stage exposures. June 1, 2009.</w:t>
      </w:r>
    </w:p>
  </w:footnote>
  <w:footnote w:id="9">
    <w:p w14:paraId="7949714B" w14:textId="07BC6838" w:rsidR="00C06C98" w:rsidRDefault="00C06C98" w:rsidP="00C06C98">
      <w:pPr>
        <w:pStyle w:val="FootnoteText"/>
      </w:pPr>
      <w:r w:rsidRPr="00D2352F">
        <w:rPr>
          <w:rStyle w:val="FootnoteReference"/>
        </w:rPr>
        <w:footnoteRef/>
      </w:r>
      <w:r w:rsidRPr="00D2352F">
        <w:t xml:space="preserve"> (</w:t>
      </w:r>
      <w:hyperlink r:id="rId7" w:history="1">
        <w:r w:rsidRPr="00D2352F">
          <w:rPr>
            <w:rStyle w:val="Hyperlink"/>
          </w:rPr>
          <w:t>CDPH, 2016</w:t>
        </w:r>
      </w:hyperlink>
      <w:r w:rsidRPr="00D2352F">
        <w:t xml:space="preserve">). Hazard Evaluation System and Information Service (HESIS), 1- Bromopropane Background. California Department of Public Health. Published </w:t>
      </w:r>
      <w:r w:rsidR="00B530E4" w:rsidRPr="00D2352F">
        <w:t>December</w:t>
      </w:r>
      <w:r w:rsidRPr="00D2352F">
        <w:t xml:space="preserve"> 2016.</w:t>
      </w:r>
    </w:p>
  </w:footnote>
  <w:footnote w:id="10">
    <w:p w14:paraId="4EB5CE9C" w14:textId="3D0EDA2E" w:rsidR="001059BD" w:rsidRDefault="001059BD" w:rsidP="001059BD">
      <w:pPr>
        <w:pStyle w:val="FootnoteText"/>
      </w:pPr>
      <w:r>
        <w:rPr>
          <w:rStyle w:val="FootnoteReference"/>
        </w:rPr>
        <w:footnoteRef/>
      </w:r>
      <w:r>
        <w:t xml:space="preserve"> (</w:t>
      </w:r>
      <w:hyperlink r:id="rId8" w:history="1">
        <w:r w:rsidRPr="00D65FE4">
          <w:rPr>
            <w:rStyle w:val="Hyperlink"/>
          </w:rPr>
          <w:t>SRP, 2019a</w:t>
        </w:r>
      </w:hyperlink>
      <w:r>
        <w:t xml:space="preserve">). SRP Transcript: CARB 2588 Air Toxics </w:t>
      </w:r>
      <w:r w:rsidR="00BB4EB6">
        <w:t>Hot Spots</w:t>
      </w:r>
      <w:r>
        <w:t xml:space="preserve"> Presentation; June 28, 2019.</w:t>
      </w:r>
    </w:p>
  </w:footnote>
  <w:footnote w:id="11">
    <w:p w14:paraId="2FC40FFD" w14:textId="77777777" w:rsidR="001059BD" w:rsidRDefault="001059BD" w:rsidP="001059BD">
      <w:pPr>
        <w:pStyle w:val="FootnoteText"/>
      </w:pPr>
      <w:r>
        <w:rPr>
          <w:rStyle w:val="FootnoteReference"/>
        </w:rPr>
        <w:footnoteRef/>
      </w:r>
      <w:r>
        <w:t xml:space="preserve"> (</w:t>
      </w:r>
      <w:hyperlink r:id="rId9" w:history="1">
        <w:r w:rsidRPr="00874DA9">
          <w:rPr>
            <w:rStyle w:val="Hyperlink"/>
          </w:rPr>
          <w:t>SRP, 2019b</w:t>
        </w:r>
      </w:hyperlink>
      <w:r>
        <w:t>). SRP Transcript: AB 2588 EICG Proposed Revisions to Appendix A Chemical List; October 4, 2019.</w:t>
      </w:r>
    </w:p>
  </w:footnote>
  <w:footnote w:id="12">
    <w:p w14:paraId="7BA41245" w14:textId="77777777" w:rsidR="00240684" w:rsidRDefault="00240684" w:rsidP="00240684">
      <w:pPr>
        <w:pStyle w:val="FootnoteText"/>
      </w:pPr>
      <w:r>
        <w:rPr>
          <w:rStyle w:val="FootnoteReference"/>
        </w:rPr>
        <w:footnoteRef/>
      </w:r>
      <w:r>
        <w:t xml:space="preserve"> (</w:t>
      </w:r>
      <w:hyperlink r:id="rId10" w:history="1">
        <w:r w:rsidRPr="00377C3B">
          <w:rPr>
            <w:rStyle w:val="Hyperlink"/>
          </w:rPr>
          <w:t>OECD, 2020</w:t>
        </w:r>
      </w:hyperlink>
      <w:r>
        <w:t>). Portal on Per and Poly Fluorinated Chemicals. Organization for Economic Cooperation and Development.</w:t>
      </w:r>
    </w:p>
  </w:footnote>
  <w:footnote w:id="13">
    <w:p w14:paraId="605DD91A" w14:textId="77777777" w:rsidR="00240684" w:rsidRDefault="00240684" w:rsidP="00240684">
      <w:pPr>
        <w:pStyle w:val="FootnoteText"/>
      </w:pPr>
      <w:r>
        <w:rPr>
          <w:rStyle w:val="FootnoteReference"/>
        </w:rPr>
        <w:footnoteRef/>
      </w:r>
      <w:r>
        <w:t xml:space="preserve"> (</w:t>
      </w:r>
      <w:hyperlink r:id="rId11" w:history="1">
        <w:r w:rsidRPr="006A0643">
          <w:rPr>
            <w:rStyle w:val="Hyperlink"/>
          </w:rPr>
          <w:t>Kwiatkowski, 2020</w:t>
        </w:r>
      </w:hyperlink>
      <w:r>
        <w:t>). Scientific Basis for Managing PFAS as a Chemical Class. Environ. Sci. Technol. Lett. 2020, 7, 8, 532-543. Kwiatkowski et. al. Published June 30, 2020.</w:t>
      </w:r>
    </w:p>
  </w:footnote>
  <w:footnote w:id="14">
    <w:p w14:paraId="0B5E93FD" w14:textId="77777777" w:rsidR="00240684" w:rsidRPr="00765CE6" w:rsidRDefault="00240684" w:rsidP="00240684">
      <w:pPr>
        <w:pStyle w:val="FootnoteText"/>
      </w:pPr>
      <w:r>
        <w:rPr>
          <w:rStyle w:val="FootnoteReference"/>
        </w:rPr>
        <w:footnoteRef/>
      </w:r>
      <w:r>
        <w:t xml:space="preserve"> (</w:t>
      </w:r>
      <w:hyperlink r:id="rId12" w:history="1">
        <w:r w:rsidRPr="006A0643">
          <w:rPr>
            <w:rStyle w:val="Hyperlink"/>
          </w:rPr>
          <w:t>CFR, 2019</w:t>
        </w:r>
      </w:hyperlink>
      <w:r>
        <w:t xml:space="preserve">). 40 CFR 721. Significant New Use Rules on Certain Chemical Substances (19.4.B). Environmental </w:t>
      </w:r>
      <w:r w:rsidRPr="00765CE6">
        <w:t>Protection Agency. July 31, 2019.</w:t>
      </w:r>
    </w:p>
  </w:footnote>
  <w:footnote w:id="15">
    <w:p w14:paraId="63D3C6FE" w14:textId="7E80F482" w:rsidR="00E74836" w:rsidRDefault="00E74836">
      <w:pPr>
        <w:pStyle w:val="FootnoteText"/>
      </w:pPr>
      <w:r>
        <w:rPr>
          <w:rStyle w:val="FootnoteReference"/>
        </w:rPr>
        <w:footnoteRef/>
      </w:r>
      <w:r>
        <w:t xml:space="preserve"> CEIDARS stands for </w:t>
      </w:r>
      <w:r w:rsidRPr="00E74836">
        <w:t xml:space="preserve">The California Emissions Inventory Data Analysis and Reporting System </w:t>
      </w:r>
      <w:r>
        <w:t>- the</w:t>
      </w:r>
      <w:r w:rsidRPr="00E74836">
        <w:t xml:space="preserve"> database management system developed to track statewide criteria pollutant and air toxic emissions.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3178A17B" w14:paraId="0B7B014D" w14:textId="77777777" w:rsidTr="3178A17B">
      <w:trPr>
        <w:trHeight w:val="300"/>
      </w:trPr>
      <w:tc>
        <w:tcPr>
          <w:tcW w:w="3360" w:type="dxa"/>
        </w:tcPr>
        <w:p w14:paraId="62EADDA7" w14:textId="58E1C663" w:rsidR="3178A17B" w:rsidRDefault="3178A17B" w:rsidP="3178A17B">
          <w:pPr>
            <w:pStyle w:val="Header"/>
            <w:ind w:left="-115"/>
          </w:pPr>
        </w:p>
      </w:tc>
      <w:tc>
        <w:tcPr>
          <w:tcW w:w="3360" w:type="dxa"/>
        </w:tcPr>
        <w:p w14:paraId="150B726E" w14:textId="759AE237" w:rsidR="3178A17B" w:rsidRDefault="3178A17B" w:rsidP="3178A17B">
          <w:pPr>
            <w:pStyle w:val="Header"/>
            <w:jc w:val="center"/>
          </w:pPr>
        </w:p>
      </w:tc>
      <w:tc>
        <w:tcPr>
          <w:tcW w:w="3360" w:type="dxa"/>
        </w:tcPr>
        <w:p w14:paraId="16BC6E26" w14:textId="6901CA1C" w:rsidR="3178A17B" w:rsidRDefault="3178A17B" w:rsidP="3178A17B">
          <w:pPr>
            <w:pStyle w:val="Header"/>
            <w:ind w:right="-115"/>
            <w:jc w:val="right"/>
          </w:pPr>
        </w:p>
      </w:tc>
    </w:tr>
  </w:tbl>
  <w:p w14:paraId="17F8FF74" w14:textId="78692751" w:rsidR="00885A78" w:rsidRDefault="00885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DC951" w14:textId="1AC4EDC2" w:rsidR="00B5499E" w:rsidRDefault="002C7568">
    <w:pPr>
      <w:pStyle w:val="Header"/>
    </w:pPr>
    <w:r>
      <w:ptab w:relativeTo="margin" w:alignment="center" w:leader="none"/>
    </w:r>
    <w:r>
      <w:ptab w:relativeTo="margin" w:alignment="right" w:leader="none"/>
    </w:r>
    <w:r>
      <w:t xml:space="preserve">Last Updated </w:t>
    </w:r>
    <w:r w:rsidR="0098261C">
      <w:t xml:space="preserve">September </w:t>
    </w:r>
    <w:r>
      <w:t>2023</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38669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FA91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D4C6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900AC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A6B9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158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A12F1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7DA73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208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5C0B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43EB4"/>
    <w:multiLevelType w:val="hybridMultilevel"/>
    <w:tmpl w:val="5F12A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B777E5"/>
    <w:multiLevelType w:val="hybridMultilevel"/>
    <w:tmpl w:val="07907766"/>
    <w:lvl w:ilvl="0" w:tplc="E99476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6CF583E"/>
    <w:multiLevelType w:val="hybridMultilevel"/>
    <w:tmpl w:val="FF90DEC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07265D3C"/>
    <w:multiLevelType w:val="hybridMultilevel"/>
    <w:tmpl w:val="36AC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1534A5"/>
    <w:multiLevelType w:val="hybridMultilevel"/>
    <w:tmpl w:val="D784906C"/>
    <w:lvl w:ilvl="0" w:tplc="CDB89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001DAB"/>
    <w:multiLevelType w:val="hybridMultilevel"/>
    <w:tmpl w:val="E5B28F2A"/>
    <w:lvl w:ilvl="0" w:tplc="A7ACE028">
      <w:start w:val="1"/>
      <w:numFmt w:val="decimal"/>
      <w:lvlText w:val="%1."/>
      <w:lvlJc w:val="left"/>
      <w:pPr>
        <w:ind w:left="451" w:hanging="361"/>
      </w:pPr>
      <w:rPr>
        <w:rFonts w:ascii="Arial" w:eastAsia="Arial" w:hAnsi="Arial" w:cs="Arial" w:hint="default"/>
        <w:b/>
        <w:bCs/>
        <w:i w:val="0"/>
        <w:iCs w:val="0"/>
        <w:spacing w:val="-1"/>
        <w:w w:val="100"/>
        <w:sz w:val="20"/>
        <w:szCs w:val="20"/>
      </w:rPr>
    </w:lvl>
    <w:lvl w:ilvl="1" w:tplc="07F0C88A">
      <w:numFmt w:val="bullet"/>
      <w:lvlText w:val="•"/>
      <w:lvlJc w:val="left"/>
      <w:pPr>
        <w:ind w:left="1444" w:hanging="361"/>
      </w:pPr>
      <w:rPr>
        <w:rFonts w:hint="default"/>
      </w:rPr>
    </w:lvl>
    <w:lvl w:ilvl="2" w:tplc="01D0F056">
      <w:numFmt w:val="bullet"/>
      <w:lvlText w:val="•"/>
      <w:lvlJc w:val="left"/>
      <w:pPr>
        <w:ind w:left="2408" w:hanging="361"/>
      </w:pPr>
      <w:rPr>
        <w:rFonts w:hint="default"/>
      </w:rPr>
    </w:lvl>
    <w:lvl w:ilvl="3" w:tplc="C7385112">
      <w:numFmt w:val="bullet"/>
      <w:lvlText w:val="•"/>
      <w:lvlJc w:val="left"/>
      <w:pPr>
        <w:ind w:left="3372" w:hanging="361"/>
      </w:pPr>
      <w:rPr>
        <w:rFonts w:hint="default"/>
      </w:rPr>
    </w:lvl>
    <w:lvl w:ilvl="4" w:tplc="ABF69AC2">
      <w:numFmt w:val="bullet"/>
      <w:lvlText w:val="•"/>
      <w:lvlJc w:val="left"/>
      <w:pPr>
        <w:ind w:left="4336" w:hanging="361"/>
      </w:pPr>
      <w:rPr>
        <w:rFonts w:hint="default"/>
      </w:rPr>
    </w:lvl>
    <w:lvl w:ilvl="5" w:tplc="A3A43574">
      <w:numFmt w:val="bullet"/>
      <w:lvlText w:val="•"/>
      <w:lvlJc w:val="left"/>
      <w:pPr>
        <w:ind w:left="5300" w:hanging="361"/>
      </w:pPr>
      <w:rPr>
        <w:rFonts w:hint="default"/>
      </w:rPr>
    </w:lvl>
    <w:lvl w:ilvl="6" w:tplc="087862BC">
      <w:numFmt w:val="bullet"/>
      <w:lvlText w:val="•"/>
      <w:lvlJc w:val="left"/>
      <w:pPr>
        <w:ind w:left="6264" w:hanging="361"/>
      </w:pPr>
      <w:rPr>
        <w:rFonts w:hint="default"/>
      </w:rPr>
    </w:lvl>
    <w:lvl w:ilvl="7" w:tplc="1F28B138">
      <w:numFmt w:val="bullet"/>
      <w:lvlText w:val="•"/>
      <w:lvlJc w:val="left"/>
      <w:pPr>
        <w:ind w:left="7228" w:hanging="361"/>
      </w:pPr>
      <w:rPr>
        <w:rFonts w:hint="default"/>
      </w:rPr>
    </w:lvl>
    <w:lvl w:ilvl="8" w:tplc="46827888">
      <w:numFmt w:val="bullet"/>
      <w:lvlText w:val="•"/>
      <w:lvlJc w:val="left"/>
      <w:pPr>
        <w:ind w:left="8192" w:hanging="361"/>
      </w:pPr>
      <w:rPr>
        <w:rFonts w:hint="default"/>
      </w:rPr>
    </w:lvl>
  </w:abstractNum>
  <w:abstractNum w:abstractNumId="16" w15:restartNumberingAfterBreak="0">
    <w:nsid w:val="13E00B8B"/>
    <w:multiLevelType w:val="hybridMultilevel"/>
    <w:tmpl w:val="FA5E865C"/>
    <w:lvl w:ilvl="0" w:tplc="213A15CA">
      <w:start w:val="1"/>
      <w:numFmt w:val="bullet"/>
      <w:lvlText w:val=""/>
      <w:lvlJc w:val="left"/>
      <w:pPr>
        <w:ind w:left="720" w:hanging="360"/>
      </w:pPr>
      <w:rPr>
        <w:rFonts w:ascii="Symbol" w:hAnsi="Symbol" w:hint="default"/>
      </w:rPr>
    </w:lvl>
    <w:lvl w:ilvl="1" w:tplc="3020AB3C">
      <w:start w:val="1"/>
      <w:numFmt w:val="bullet"/>
      <w:lvlText w:val="o"/>
      <w:lvlJc w:val="left"/>
      <w:pPr>
        <w:ind w:left="1440" w:hanging="360"/>
      </w:pPr>
      <w:rPr>
        <w:rFonts w:ascii="Courier New" w:hAnsi="Courier New" w:hint="default"/>
      </w:rPr>
    </w:lvl>
    <w:lvl w:ilvl="2" w:tplc="D2C46A24">
      <w:start w:val="1"/>
      <w:numFmt w:val="bullet"/>
      <w:lvlText w:val=""/>
      <w:lvlJc w:val="left"/>
      <w:pPr>
        <w:ind w:left="2160" w:hanging="360"/>
      </w:pPr>
      <w:rPr>
        <w:rFonts w:ascii="Wingdings" w:hAnsi="Wingdings" w:hint="default"/>
      </w:rPr>
    </w:lvl>
    <w:lvl w:ilvl="3" w:tplc="869A678E">
      <w:start w:val="1"/>
      <w:numFmt w:val="bullet"/>
      <w:lvlText w:val=""/>
      <w:lvlJc w:val="left"/>
      <w:pPr>
        <w:ind w:left="2880" w:hanging="360"/>
      </w:pPr>
      <w:rPr>
        <w:rFonts w:ascii="Symbol" w:hAnsi="Symbol" w:hint="default"/>
      </w:rPr>
    </w:lvl>
    <w:lvl w:ilvl="4" w:tplc="10DC0D98">
      <w:start w:val="1"/>
      <w:numFmt w:val="bullet"/>
      <w:lvlText w:val="o"/>
      <w:lvlJc w:val="left"/>
      <w:pPr>
        <w:ind w:left="3600" w:hanging="360"/>
      </w:pPr>
      <w:rPr>
        <w:rFonts w:ascii="Courier New" w:hAnsi="Courier New" w:hint="default"/>
      </w:rPr>
    </w:lvl>
    <w:lvl w:ilvl="5" w:tplc="FEC8E3EC">
      <w:start w:val="1"/>
      <w:numFmt w:val="bullet"/>
      <w:lvlText w:val=""/>
      <w:lvlJc w:val="left"/>
      <w:pPr>
        <w:ind w:left="4320" w:hanging="360"/>
      </w:pPr>
      <w:rPr>
        <w:rFonts w:ascii="Wingdings" w:hAnsi="Wingdings" w:hint="default"/>
      </w:rPr>
    </w:lvl>
    <w:lvl w:ilvl="6" w:tplc="57FA8680">
      <w:start w:val="1"/>
      <w:numFmt w:val="bullet"/>
      <w:lvlText w:val=""/>
      <w:lvlJc w:val="left"/>
      <w:pPr>
        <w:ind w:left="5040" w:hanging="360"/>
      </w:pPr>
      <w:rPr>
        <w:rFonts w:ascii="Symbol" w:hAnsi="Symbol" w:hint="default"/>
      </w:rPr>
    </w:lvl>
    <w:lvl w:ilvl="7" w:tplc="4A6C7804">
      <w:start w:val="1"/>
      <w:numFmt w:val="bullet"/>
      <w:lvlText w:val="o"/>
      <w:lvlJc w:val="left"/>
      <w:pPr>
        <w:ind w:left="5760" w:hanging="360"/>
      </w:pPr>
      <w:rPr>
        <w:rFonts w:ascii="Courier New" w:hAnsi="Courier New" w:hint="default"/>
      </w:rPr>
    </w:lvl>
    <w:lvl w:ilvl="8" w:tplc="D36C9350">
      <w:start w:val="1"/>
      <w:numFmt w:val="bullet"/>
      <w:lvlText w:val=""/>
      <w:lvlJc w:val="left"/>
      <w:pPr>
        <w:ind w:left="6480" w:hanging="360"/>
      </w:pPr>
      <w:rPr>
        <w:rFonts w:ascii="Wingdings" w:hAnsi="Wingdings" w:hint="default"/>
      </w:rPr>
    </w:lvl>
  </w:abstractNum>
  <w:abstractNum w:abstractNumId="17" w15:restartNumberingAfterBreak="0">
    <w:nsid w:val="14A7E833"/>
    <w:multiLevelType w:val="hybridMultilevel"/>
    <w:tmpl w:val="81EEE81E"/>
    <w:lvl w:ilvl="0" w:tplc="5EECD98E">
      <w:start w:val="1"/>
      <w:numFmt w:val="decimal"/>
      <w:lvlText w:val="%1."/>
      <w:lvlJc w:val="left"/>
      <w:pPr>
        <w:ind w:left="720" w:hanging="360"/>
      </w:pPr>
      <w:rPr>
        <w:rFonts w:ascii="Avenir LT Std 55 Roman" w:hAnsi="Avenir LT Std 55 Roman" w:hint="default"/>
      </w:rPr>
    </w:lvl>
    <w:lvl w:ilvl="1" w:tplc="BE0C878E">
      <w:start w:val="1"/>
      <w:numFmt w:val="lowerLetter"/>
      <w:lvlText w:val="%2."/>
      <w:lvlJc w:val="left"/>
      <w:pPr>
        <w:ind w:left="1440" w:hanging="360"/>
      </w:pPr>
    </w:lvl>
    <w:lvl w:ilvl="2" w:tplc="C25A925A">
      <w:start w:val="1"/>
      <w:numFmt w:val="lowerRoman"/>
      <w:lvlText w:val="%3."/>
      <w:lvlJc w:val="right"/>
      <w:pPr>
        <w:ind w:left="2160" w:hanging="180"/>
      </w:pPr>
    </w:lvl>
    <w:lvl w:ilvl="3" w:tplc="0074A20A">
      <w:start w:val="1"/>
      <w:numFmt w:val="decimal"/>
      <w:lvlText w:val="%4."/>
      <w:lvlJc w:val="left"/>
      <w:pPr>
        <w:ind w:left="2880" w:hanging="360"/>
      </w:pPr>
    </w:lvl>
    <w:lvl w:ilvl="4" w:tplc="E7CC11DA">
      <w:start w:val="1"/>
      <w:numFmt w:val="lowerLetter"/>
      <w:lvlText w:val="%5."/>
      <w:lvlJc w:val="left"/>
      <w:pPr>
        <w:ind w:left="3600" w:hanging="360"/>
      </w:pPr>
    </w:lvl>
    <w:lvl w:ilvl="5" w:tplc="4784E556">
      <w:start w:val="1"/>
      <w:numFmt w:val="lowerRoman"/>
      <w:lvlText w:val="%6."/>
      <w:lvlJc w:val="right"/>
      <w:pPr>
        <w:ind w:left="4320" w:hanging="180"/>
      </w:pPr>
    </w:lvl>
    <w:lvl w:ilvl="6" w:tplc="99E2239A">
      <w:start w:val="1"/>
      <w:numFmt w:val="decimal"/>
      <w:lvlText w:val="%7."/>
      <w:lvlJc w:val="left"/>
      <w:pPr>
        <w:ind w:left="5040" w:hanging="360"/>
      </w:pPr>
    </w:lvl>
    <w:lvl w:ilvl="7" w:tplc="27822F1A">
      <w:start w:val="1"/>
      <w:numFmt w:val="lowerLetter"/>
      <w:lvlText w:val="%8."/>
      <w:lvlJc w:val="left"/>
      <w:pPr>
        <w:ind w:left="5760" w:hanging="360"/>
      </w:pPr>
    </w:lvl>
    <w:lvl w:ilvl="8" w:tplc="6BFC03A4">
      <w:start w:val="1"/>
      <w:numFmt w:val="lowerRoman"/>
      <w:lvlText w:val="%9."/>
      <w:lvlJc w:val="right"/>
      <w:pPr>
        <w:ind w:left="6480" w:hanging="180"/>
      </w:pPr>
    </w:lvl>
  </w:abstractNum>
  <w:abstractNum w:abstractNumId="18" w15:restartNumberingAfterBreak="0">
    <w:nsid w:val="14C90FAA"/>
    <w:multiLevelType w:val="hybridMultilevel"/>
    <w:tmpl w:val="F7784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685E70"/>
    <w:multiLevelType w:val="hybridMultilevel"/>
    <w:tmpl w:val="7D4C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832F9D"/>
    <w:multiLevelType w:val="hybridMultilevel"/>
    <w:tmpl w:val="AB00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E84535E"/>
    <w:multiLevelType w:val="hybridMultilevel"/>
    <w:tmpl w:val="EC9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AC6798"/>
    <w:multiLevelType w:val="hybridMultilevel"/>
    <w:tmpl w:val="2FE276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C34C24"/>
    <w:multiLevelType w:val="hybridMultilevel"/>
    <w:tmpl w:val="B172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3E25DB"/>
    <w:multiLevelType w:val="multilevel"/>
    <w:tmpl w:val="F39C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2012D0"/>
    <w:multiLevelType w:val="hybridMultilevel"/>
    <w:tmpl w:val="D1E4A4C2"/>
    <w:lvl w:ilvl="0" w:tplc="4B5C8DD4">
      <w:start w:val="1"/>
      <w:numFmt w:val="bullet"/>
      <w:lvlText w:val=""/>
      <w:lvlJc w:val="left"/>
      <w:pPr>
        <w:ind w:left="720" w:hanging="360"/>
      </w:pPr>
      <w:rPr>
        <w:rFonts w:ascii="Symbol" w:hAnsi="Symbol" w:hint="default"/>
      </w:rPr>
    </w:lvl>
    <w:lvl w:ilvl="1" w:tplc="7E2A8068">
      <w:start w:val="1"/>
      <w:numFmt w:val="bullet"/>
      <w:lvlText w:val="o"/>
      <w:lvlJc w:val="left"/>
      <w:pPr>
        <w:ind w:left="1440" w:hanging="360"/>
      </w:pPr>
      <w:rPr>
        <w:rFonts w:ascii="Courier New" w:hAnsi="Courier New" w:hint="default"/>
      </w:rPr>
    </w:lvl>
    <w:lvl w:ilvl="2" w:tplc="8CC60F5E">
      <w:start w:val="1"/>
      <w:numFmt w:val="bullet"/>
      <w:lvlText w:val=""/>
      <w:lvlJc w:val="left"/>
      <w:pPr>
        <w:ind w:left="2160" w:hanging="360"/>
      </w:pPr>
      <w:rPr>
        <w:rFonts w:ascii="Wingdings" w:hAnsi="Wingdings" w:hint="default"/>
      </w:rPr>
    </w:lvl>
    <w:lvl w:ilvl="3" w:tplc="0586477E">
      <w:start w:val="1"/>
      <w:numFmt w:val="bullet"/>
      <w:lvlText w:val=""/>
      <w:lvlJc w:val="left"/>
      <w:pPr>
        <w:ind w:left="2880" w:hanging="360"/>
      </w:pPr>
      <w:rPr>
        <w:rFonts w:ascii="Symbol" w:hAnsi="Symbol" w:hint="default"/>
      </w:rPr>
    </w:lvl>
    <w:lvl w:ilvl="4" w:tplc="FA02DCE2">
      <w:start w:val="1"/>
      <w:numFmt w:val="bullet"/>
      <w:lvlText w:val="o"/>
      <w:lvlJc w:val="left"/>
      <w:pPr>
        <w:ind w:left="3600" w:hanging="360"/>
      </w:pPr>
      <w:rPr>
        <w:rFonts w:ascii="Courier New" w:hAnsi="Courier New" w:hint="default"/>
      </w:rPr>
    </w:lvl>
    <w:lvl w:ilvl="5" w:tplc="8424FD64">
      <w:start w:val="1"/>
      <w:numFmt w:val="bullet"/>
      <w:lvlText w:val=""/>
      <w:lvlJc w:val="left"/>
      <w:pPr>
        <w:ind w:left="4320" w:hanging="360"/>
      </w:pPr>
      <w:rPr>
        <w:rFonts w:ascii="Wingdings" w:hAnsi="Wingdings" w:hint="default"/>
      </w:rPr>
    </w:lvl>
    <w:lvl w:ilvl="6" w:tplc="6A0E2F68">
      <w:start w:val="1"/>
      <w:numFmt w:val="bullet"/>
      <w:lvlText w:val=""/>
      <w:lvlJc w:val="left"/>
      <w:pPr>
        <w:ind w:left="5040" w:hanging="360"/>
      </w:pPr>
      <w:rPr>
        <w:rFonts w:ascii="Symbol" w:hAnsi="Symbol" w:hint="default"/>
      </w:rPr>
    </w:lvl>
    <w:lvl w:ilvl="7" w:tplc="14BE11A2">
      <w:start w:val="1"/>
      <w:numFmt w:val="bullet"/>
      <w:lvlText w:val="o"/>
      <w:lvlJc w:val="left"/>
      <w:pPr>
        <w:ind w:left="5760" w:hanging="360"/>
      </w:pPr>
      <w:rPr>
        <w:rFonts w:ascii="Courier New" w:hAnsi="Courier New" w:hint="default"/>
      </w:rPr>
    </w:lvl>
    <w:lvl w:ilvl="8" w:tplc="F9B88F02">
      <w:start w:val="1"/>
      <w:numFmt w:val="bullet"/>
      <w:lvlText w:val=""/>
      <w:lvlJc w:val="left"/>
      <w:pPr>
        <w:ind w:left="6480" w:hanging="360"/>
      </w:pPr>
      <w:rPr>
        <w:rFonts w:ascii="Wingdings" w:hAnsi="Wingdings" w:hint="default"/>
      </w:rPr>
    </w:lvl>
  </w:abstractNum>
  <w:abstractNum w:abstractNumId="26" w15:restartNumberingAfterBreak="0">
    <w:nsid w:val="290E4B1E"/>
    <w:multiLevelType w:val="hybridMultilevel"/>
    <w:tmpl w:val="44500CB8"/>
    <w:lvl w:ilvl="0" w:tplc="A320797E">
      <w:start w:val="2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6944D3"/>
    <w:multiLevelType w:val="hybridMultilevel"/>
    <w:tmpl w:val="DFB82F94"/>
    <w:name w:val="Numbered list 1"/>
    <w:lvl w:ilvl="0" w:tplc="2E7CA708">
      <w:start w:val="1"/>
      <w:numFmt w:val="decimal"/>
      <w:lvlText w:val="%1."/>
      <w:lvlJc w:val="left"/>
      <w:pPr>
        <w:ind w:left="360" w:firstLine="0"/>
      </w:pPr>
    </w:lvl>
    <w:lvl w:ilvl="1" w:tplc="8DB000DA">
      <w:start w:val="1"/>
      <w:numFmt w:val="lowerLetter"/>
      <w:lvlText w:val="%2."/>
      <w:lvlJc w:val="left"/>
      <w:pPr>
        <w:ind w:left="1080" w:firstLine="0"/>
      </w:pPr>
    </w:lvl>
    <w:lvl w:ilvl="2" w:tplc="FD4E6216">
      <w:start w:val="1"/>
      <w:numFmt w:val="lowerRoman"/>
      <w:lvlText w:val="%3."/>
      <w:lvlJc w:val="left"/>
      <w:pPr>
        <w:ind w:left="1980" w:firstLine="0"/>
      </w:pPr>
    </w:lvl>
    <w:lvl w:ilvl="3" w:tplc="4BB6E5B0">
      <w:start w:val="1"/>
      <w:numFmt w:val="decimal"/>
      <w:lvlText w:val="%4."/>
      <w:lvlJc w:val="left"/>
      <w:pPr>
        <w:ind w:left="2520" w:firstLine="0"/>
      </w:pPr>
    </w:lvl>
    <w:lvl w:ilvl="4" w:tplc="2452EA7C">
      <w:start w:val="1"/>
      <w:numFmt w:val="lowerLetter"/>
      <w:lvlText w:val="%5."/>
      <w:lvlJc w:val="left"/>
      <w:pPr>
        <w:ind w:left="3240" w:firstLine="0"/>
      </w:pPr>
    </w:lvl>
    <w:lvl w:ilvl="5" w:tplc="429A808A">
      <w:start w:val="1"/>
      <w:numFmt w:val="lowerRoman"/>
      <w:lvlText w:val="%6."/>
      <w:lvlJc w:val="left"/>
      <w:pPr>
        <w:ind w:left="4140" w:firstLine="0"/>
      </w:pPr>
    </w:lvl>
    <w:lvl w:ilvl="6" w:tplc="B1FA4546">
      <w:start w:val="1"/>
      <w:numFmt w:val="decimal"/>
      <w:lvlText w:val="%7."/>
      <w:lvlJc w:val="left"/>
      <w:pPr>
        <w:ind w:left="4680" w:firstLine="0"/>
      </w:pPr>
    </w:lvl>
    <w:lvl w:ilvl="7" w:tplc="F76A462C">
      <w:start w:val="1"/>
      <w:numFmt w:val="lowerLetter"/>
      <w:lvlText w:val="%8."/>
      <w:lvlJc w:val="left"/>
      <w:pPr>
        <w:ind w:left="5400" w:firstLine="0"/>
      </w:pPr>
    </w:lvl>
    <w:lvl w:ilvl="8" w:tplc="62B06988">
      <w:start w:val="1"/>
      <w:numFmt w:val="lowerRoman"/>
      <w:lvlText w:val="%9."/>
      <w:lvlJc w:val="left"/>
      <w:pPr>
        <w:ind w:left="6300" w:firstLine="0"/>
      </w:pPr>
    </w:lvl>
  </w:abstractNum>
  <w:abstractNum w:abstractNumId="28" w15:restartNumberingAfterBreak="0">
    <w:nsid w:val="2C6676D5"/>
    <w:multiLevelType w:val="hybridMultilevel"/>
    <w:tmpl w:val="56321F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F9775A0"/>
    <w:multiLevelType w:val="hybridMultilevel"/>
    <w:tmpl w:val="74BE3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0AC7E1C"/>
    <w:multiLevelType w:val="hybridMultilevel"/>
    <w:tmpl w:val="812860BE"/>
    <w:lvl w:ilvl="0" w:tplc="B5E469D2">
      <w:start w:val="1"/>
      <w:numFmt w:val="lowerLetter"/>
      <w:lvlText w:val="(%1)"/>
      <w:lvlJc w:val="left"/>
      <w:pPr>
        <w:ind w:left="1440" w:hanging="360"/>
      </w:pPr>
      <w:rPr>
        <w:rFonts w:ascii="Avenir LT Std 55 Roman" w:eastAsia="Arial Unicode MS" w:hAnsi="Avenir LT Std 55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1B77D81"/>
    <w:multiLevelType w:val="multilevel"/>
    <w:tmpl w:val="46DC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3361F9"/>
    <w:multiLevelType w:val="multilevel"/>
    <w:tmpl w:val="C68E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EA2285"/>
    <w:multiLevelType w:val="hybridMultilevel"/>
    <w:tmpl w:val="9A1A73C0"/>
    <w:lvl w:ilvl="0" w:tplc="1B1436C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CB93983"/>
    <w:multiLevelType w:val="multilevel"/>
    <w:tmpl w:val="2C4A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CC199E"/>
    <w:multiLevelType w:val="hybridMultilevel"/>
    <w:tmpl w:val="82C6884C"/>
    <w:lvl w:ilvl="0" w:tplc="A976BA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EE64289"/>
    <w:multiLevelType w:val="hybridMultilevel"/>
    <w:tmpl w:val="052849B4"/>
    <w:lvl w:ilvl="0" w:tplc="44F87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1B578DC"/>
    <w:multiLevelType w:val="hybridMultilevel"/>
    <w:tmpl w:val="9F2E3B40"/>
    <w:name w:val="Numbered list 2"/>
    <w:lvl w:ilvl="0" w:tplc="78467A64">
      <w:numFmt w:val="bullet"/>
      <w:lvlText w:val=""/>
      <w:lvlJc w:val="left"/>
      <w:pPr>
        <w:ind w:left="360" w:firstLine="0"/>
      </w:pPr>
      <w:rPr>
        <w:rFonts w:ascii="Symbol" w:hAnsi="Symbol"/>
      </w:rPr>
    </w:lvl>
    <w:lvl w:ilvl="1" w:tplc="D4F2E056">
      <w:numFmt w:val="bullet"/>
      <w:lvlText w:val="o"/>
      <w:lvlJc w:val="left"/>
      <w:pPr>
        <w:ind w:left="1080" w:firstLine="0"/>
      </w:pPr>
      <w:rPr>
        <w:rFonts w:ascii="Courier New" w:hAnsi="Courier New" w:cs="Courier New"/>
      </w:rPr>
    </w:lvl>
    <w:lvl w:ilvl="2" w:tplc="BFCA34F2">
      <w:numFmt w:val="bullet"/>
      <w:lvlText w:val=""/>
      <w:lvlJc w:val="left"/>
      <w:pPr>
        <w:ind w:left="1800" w:firstLine="0"/>
      </w:pPr>
      <w:rPr>
        <w:rFonts w:ascii="Wingdings" w:eastAsia="Wingdings" w:hAnsi="Wingdings" w:cs="Wingdings"/>
      </w:rPr>
    </w:lvl>
    <w:lvl w:ilvl="3" w:tplc="970409B6">
      <w:numFmt w:val="bullet"/>
      <w:lvlText w:val=""/>
      <w:lvlJc w:val="left"/>
      <w:pPr>
        <w:ind w:left="2520" w:firstLine="0"/>
      </w:pPr>
      <w:rPr>
        <w:rFonts w:ascii="Symbol" w:hAnsi="Symbol"/>
      </w:rPr>
    </w:lvl>
    <w:lvl w:ilvl="4" w:tplc="F9A03C6E">
      <w:numFmt w:val="bullet"/>
      <w:lvlText w:val="o"/>
      <w:lvlJc w:val="left"/>
      <w:pPr>
        <w:ind w:left="3240" w:firstLine="0"/>
      </w:pPr>
      <w:rPr>
        <w:rFonts w:ascii="Courier New" w:hAnsi="Courier New" w:cs="Courier New"/>
      </w:rPr>
    </w:lvl>
    <w:lvl w:ilvl="5" w:tplc="9CC48EB6">
      <w:numFmt w:val="bullet"/>
      <w:lvlText w:val=""/>
      <w:lvlJc w:val="left"/>
      <w:pPr>
        <w:ind w:left="3960" w:firstLine="0"/>
      </w:pPr>
      <w:rPr>
        <w:rFonts w:ascii="Wingdings" w:eastAsia="Wingdings" w:hAnsi="Wingdings" w:cs="Wingdings"/>
      </w:rPr>
    </w:lvl>
    <w:lvl w:ilvl="6" w:tplc="6F0A2E30">
      <w:numFmt w:val="bullet"/>
      <w:lvlText w:val=""/>
      <w:lvlJc w:val="left"/>
      <w:pPr>
        <w:ind w:left="4680" w:firstLine="0"/>
      </w:pPr>
      <w:rPr>
        <w:rFonts w:ascii="Symbol" w:hAnsi="Symbol"/>
      </w:rPr>
    </w:lvl>
    <w:lvl w:ilvl="7" w:tplc="4196ADE6">
      <w:numFmt w:val="bullet"/>
      <w:lvlText w:val="o"/>
      <w:lvlJc w:val="left"/>
      <w:pPr>
        <w:ind w:left="5400" w:firstLine="0"/>
      </w:pPr>
      <w:rPr>
        <w:rFonts w:ascii="Courier New" w:hAnsi="Courier New" w:cs="Courier New"/>
      </w:rPr>
    </w:lvl>
    <w:lvl w:ilvl="8" w:tplc="BCA82FEC">
      <w:numFmt w:val="bullet"/>
      <w:lvlText w:val=""/>
      <w:lvlJc w:val="left"/>
      <w:pPr>
        <w:ind w:left="6120" w:firstLine="0"/>
      </w:pPr>
      <w:rPr>
        <w:rFonts w:ascii="Wingdings" w:eastAsia="Wingdings" w:hAnsi="Wingdings" w:cs="Wingdings"/>
      </w:rPr>
    </w:lvl>
  </w:abstractNum>
  <w:abstractNum w:abstractNumId="38" w15:restartNumberingAfterBreak="0">
    <w:nsid w:val="4521455D"/>
    <w:multiLevelType w:val="hybridMultilevel"/>
    <w:tmpl w:val="A7BE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D040B2"/>
    <w:multiLevelType w:val="hybridMultilevel"/>
    <w:tmpl w:val="19E6E4F8"/>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0E182E3"/>
    <w:multiLevelType w:val="hybridMultilevel"/>
    <w:tmpl w:val="33CC6A26"/>
    <w:lvl w:ilvl="0" w:tplc="B43E5488">
      <w:start w:val="1"/>
      <w:numFmt w:val="bullet"/>
      <w:lvlText w:val=""/>
      <w:lvlJc w:val="left"/>
      <w:pPr>
        <w:ind w:left="720" w:hanging="360"/>
      </w:pPr>
      <w:rPr>
        <w:rFonts w:ascii="Symbol" w:hAnsi="Symbol" w:hint="default"/>
      </w:rPr>
    </w:lvl>
    <w:lvl w:ilvl="1" w:tplc="4B741A8C">
      <w:start w:val="1"/>
      <w:numFmt w:val="bullet"/>
      <w:lvlText w:val="o"/>
      <w:lvlJc w:val="left"/>
      <w:pPr>
        <w:ind w:left="1440" w:hanging="360"/>
      </w:pPr>
      <w:rPr>
        <w:rFonts w:ascii="Courier New" w:hAnsi="Courier New" w:hint="default"/>
      </w:rPr>
    </w:lvl>
    <w:lvl w:ilvl="2" w:tplc="DF9A9D84">
      <w:start w:val="1"/>
      <w:numFmt w:val="bullet"/>
      <w:lvlText w:val=""/>
      <w:lvlJc w:val="left"/>
      <w:pPr>
        <w:ind w:left="2160" w:hanging="360"/>
      </w:pPr>
      <w:rPr>
        <w:rFonts w:ascii="Wingdings" w:hAnsi="Wingdings" w:hint="default"/>
      </w:rPr>
    </w:lvl>
    <w:lvl w:ilvl="3" w:tplc="7A4666EA">
      <w:start w:val="1"/>
      <w:numFmt w:val="bullet"/>
      <w:lvlText w:val=""/>
      <w:lvlJc w:val="left"/>
      <w:pPr>
        <w:ind w:left="2880" w:hanging="360"/>
      </w:pPr>
      <w:rPr>
        <w:rFonts w:ascii="Symbol" w:hAnsi="Symbol" w:hint="default"/>
      </w:rPr>
    </w:lvl>
    <w:lvl w:ilvl="4" w:tplc="9D766712">
      <w:start w:val="1"/>
      <w:numFmt w:val="bullet"/>
      <w:lvlText w:val="o"/>
      <w:lvlJc w:val="left"/>
      <w:pPr>
        <w:ind w:left="3600" w:hanging="360"/>
      </w:pPr>
      <w:rPr>
        <w:rFonts w:ascii="Courier New" w:hAnsi="Courier New" w:hint="default"/>
      </w:rPr>
    </w:lvl>
    <w:lvl w:ilvl="5" w:tplc="89085E98">
      <w:start w:val="1"/>
      <w:numFmt w:val="bullet"/>
      <w:lvlText w:val=""/>
      <w:lvlJc w:val="left"/>
      <w:pPr>
        <w:ind w:left="4320" w:hanging="360"/>
      </w:pPr>
      <w:rPr>
        <w:rFonts w:ascii="Wingdings" w:hAnsi="Wingdings" w:hint="default"/>
      </w:rPr>
    </w:lvl>
    <w:lvl w:ilvl="6" w:tplc="753C229E">
      <w:start w:val="1"/>
      <w:numFmt w:val="bullet"/>
      <w:lvlText w:val=""/>
      <w:lvlJc w:val="left"/>
      <w:pPr>
        <w:ind w:left="5040" w:hanging="360"/>
      </w:pPr>
      <w:rPr>
        <w:rFonts w:ascii="Symbol" w:hAnsi="Symbol" w:hint="default"/>
      </w:rPr>
    </w:lvl>
    <w:lvl w:ilvl="7" w:tplc="7D76816C">
      <w:start w:val="1"/>
      <w:numFmt w:val="bullet"/>
      <w:lvlText w:val="o"/>
      <w:lvlJc w:val="left"/>
      <w:pPr>
        <w:ind w:left="5760" w:hanging="360"/>
      </w:pPr>
      <w:rPr>
        <w:rFonts w:ascii="Courier New" w:hAnsi="Courier New" w:hint="default"/>
      </w:rPr>
    </w:lvl>
    <w:lvl w:ilvl="8" w:tplc="A0D22B00">
      <w:start w:val="1"/>
      <w:numFmt w:val="bullet"/>
      <w:lvlText w:val=""/>
      <w:lvlJc w:val="left"/>
      <w:pPr>
        <w:ind w:left="6480" w:hanging="360"/>
      </w:pPr>
      <w:rPr>
        <w:rFonts w:ascii="Wingdings" w:hAnsi="Wingdings" w:hint="default"/>
      </w:rPr>
    </w:lvl>
  </w:abstractNum>
  <w:abstractNum w:abstractNumId="41" w15:restartNumberingAfterBreak="0">
    <w:nsid w:val="53524126"/>
    <w:multiLevelType w:val="hybridMultilevel"/>
    <w:tmpl w:val="1592B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DB4528"/>
    <w:multiLevelType w:val="hybridMultilevel"/>
    <w:tmpl w:val="DE10B5AA"/>
    <w:lvl w:ilvl="0" w:tplc="E5D47998">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AC10CB"/>
    <w:multiLevelType w:val="hybridMultilevel"/>
    <w:tmpl w:val="01BE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E62800"/>
    <w:multiLevelType w:val="hybridMultilevel"/>
    <w:tmpl w:val="DE10B5AA"/>
    <w:lvl w:ilvl="0" w:tplc="E5D47998">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D24D83"/>
    <w:multiLevelType w:val="hybridMultilevel"/>
    <w:tmpl w:val="A4B418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603B7DC0"/>
    <w:multiLevelType w:val="multilevel"/>
    <w:tmpl w:val="E7066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C44F9D"/>
    <w:multiLevelType w:val="hybridMultilevel"/>
    <w:tmpl w:val="DDBE6DCA"/>
    <w:lvl w:ilvl="0" w:tplc="47F28764">
      <w:numFmt w:val="none"/>
      <w:lvlText w:val=""/>
      <w:lvlJc w:val="left"/>
      <w:pPr>
        <w:tabs>
          <w:tab w:val="num" w:pos="360"/>
        </w:tabs>
        <w:ind w:left="360" w:hanging="360"/>
      </w:pPr>
    </w:lvl>
    <w:lvl w:ilvl="1" w:tplc="AF9ECBDE">
      <w:numFmt w:val="none"/>
      <w:lvlText w:val=""/>
      <w:lvlJc w:val="left"/>
      <w:pPr>
        <w:tabs>
          <w:tab w:val="num" w:pos="360"/>
        </w:tabs>
        <w:ind w:left="360" w:hanging="360"/>
      </w:pPr>
    </w:lvl>
    <w:lvl w:ilvl="2" w:tplc="C370443A">
      <w:numFmt w:val="none"/>
      <w:lvlText w:val=""/>
      <w:lvlJc w:val="left"/>
      <w:pPr>
        <w:tabs>
          <w:tab w:val="num" w:pos="360"/>
        </w:tabs>
        <w:ind w:left="360" w:hanging="360"/>
      </w:pPr>
    </w:lvl>
    <w:lvl w:ilvl="3" w:tplc="F63AB9C0">
      <w:numFmt w:val="none"/>
      <w:lvlText w:val=""/>
      <w:lvlJc w:val="left"/>
      <w:pPr>
        <w:tabs>
          <w:tab w:val="num" w:pos="360"/>
        </w:tabs>
        <w:ind w:left="360" w:hanging="360"/>
      </w:pPr>
    </w:lvl>
    <w:lvl w:ilvl="4" w:tplc="91E23480">
      <w:numFmt w:val="none"/>
      <w:lvlText w:val=""/>
      <w:lvlJc w:val="left"/>
      <w:pPr>
        <w:tabs>
          <w:tab w:val="num" w:pos="360"/>
        </w:tabs>
        <w:ind w:left="360" w:hanging="360"/>
      </w:pPr>
    </w:lvl>
    <w:lvl w:ilvl="5" w:tplc="7B0633F8">
      <w:numFmt w:val="none"/>
      <w:lvlText w:val=""/>
      <w:lvlJc w:val="left"/>
      <w:pPr>
        <w:tabs>
          <w:tab w:val="num" w:pos="360"/>
        </w:tabs>
        <w:ind w:left="360" w:hanging="360"/>
      </w:pPr>
    </w:lvl>
    <w:lvl w:ilvl="6" w:tplc="2EDAC09E">
      <w:numFmt w:val="none"/>
      <w:lvlText w:val=""/>
      <w:lvlJc w:val="left"/>
      <w:pPr>
        <w:tabs>
          <w:tab w:val="num" w:pos="360"/>
        </w:tabs>
        <w:ind w:left="360" w:hanging="360"/>
      </w:pPr>
    </w:lvl>
    <w:lvl w:ilvl="7" w:tplc="E508E4C2">
      <w:numFmt w:val="none"/>
      <w:lvlText w:val=""/>
      <w:lvlJc w:val="left"/>
      <w:pPr>
        <w:tabs>
          <w:tab w:val="num" w:pos="360"/>
        </w:tabs>
        <w:ind w:left="360" w:hanging="360"/>
      </w:pPr>
    </w:lvl>
    <w:lvl w:ilvl="8" w:tplc="6BCA9E34">
      <w:numFmt w:val="none"/>
      <w:lvlText w:val=""/>
      <w:lvlJc w:val="left"/>
      <w:pPr>
        <w:tabs>
          <w:tab w:val="num" w:pos="360"/>
        </w:tabs>
        <w:ind w:left="360" w:hanging="360"/>
      </w:pPr>
    </w:lvl>
  </w:abstractNum>
  <w:abstractNum w:abstractNumId="48" w15:restartNumberingAfterBreak="0">
    <w:nsid w:val="72395455"/>
    <w:multiLevelType w:val="multilevel"/>
    <w:tmpl w:val="F7AA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8A62DE"/>
    <w:multiLevelType w:val="multilevel"/>
    <w:tmpl w:val="577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40028C"/>
    <w:multiLevelType w:val="hybridMultilevel"/>
    <w:tmpl w:val="DE10B5AA"/>
    <w:lvl w:ilvl="0" w:tplc="E5D47998">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702778"/>
    <w:multiLevelType w:val="multilevel"/>
    <w:tmpl w:val="E186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CA4D08"/>
    <w:multiLevelType w:val="multilevel"/>
    <w:tmpl w:val="D56C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010927">
    <w:abstractNumId w:val="40"/>
  </w:num>
  <w:num w:numId="2" w16cid:durableId="1094127060">
    <w:abstractNumId w:val="16"/>
  </w:num>
  <w:num w:numId="3" w16cid:durableId="739405286">
    <w:abstractNumId w:val="17"/>
  </w:num>
  <w:num w:numId="4" w16cid:durableId="1202787461">
    <w:abstractNumId w:val="25"/>
  </w:num>
  <w:num w:numId="5" w16cid:durableId="1644576696">
    <w:abstractNumId w:val="27"/>
  </w:num>
  <w:num w:numId="6" w16cid:durableId="411202756">
    <w:abstractNumId w:val="37"/>
  </w:num>
  <w:num w:numId="7" w16cid:durableId="537010461">
    <w:abstractNumId w:val="47"/>
  </w:num>
  <w:num w:numId="8" w16cid:durableId="1586115031">
    <w:abstractNumId w:val="0"/>
  </w:num>
  <w:num w:numId="9" w16cid:durableId="1201359590">
    <w:abstractNumId w:val="1"/>
  </w:num>
  <w:num w:numId="10" w16cid:durableId="1472710">
    <w:abstractNumId w:val="2"/>
  </w:num>
  <w:num w:numId="11" w16cid:durableId="331763150">
    <w:abstractNumId w:val="3"/>
  </w:num>
  <w:num w:numId="12" w16cid:durableId="1846747344">
    <w:abstractNumId w:val="8"/>
  </w:num>
  <w:num w:numId="13" w16cid:durableId="1238246884">
    <w:abstractNumId w:val="4"/>
  </w:num>
  <w:num w:numId="14" w16cid:durableId="1364017275">
    <w:abstractNumId w:val="5"/>
  </w:num>
  <w:num w:numId="15" w16cid:durableId="572929758">
    <w:abstractNumId w:val="6"/>
  </w:num>
  <w:num w:numId="16" w16cid:durableId="208608837">
    <w:abstractNumId w:val="7"/>
  </w:num>
  <w:num w:numId="17" w16cid:durableId="1618027813">
    <w:abstractNumId w:val="9"/>
  </w:num>
  <w:num w:numId="18" w16cid:durableId="962538505">
    <w:abstractNumId w:val="38"/>
  </w:num>
  <w:num w:numId="19" w16cid:durableId="1625891391">
    <w:abstractNumId w:val="41"/>
  </w:num>
  <w:num w:numId="20" w16cid:durableId="1012957167">
    <w:abstractNumId w:val="20"/>
  </w:num>
  <w:num w:numId="21" w16cid:durableId="2136874297">
    <w:abstractNumId w:val="19"/>
  </w:num>
  <w:num w:numId="22" w16cid:durableId="894852059">
    <w:abstractNumId w:val="18"/>
  </w:num>
  <w:num w:numId="23" w16cid:durableId="2117557872">
    <w:abstractNumId w:val="10"/>
  </w:num>
  <w:num w:numId="24" w16cid:durableId="1293704935">
    <w:abstractNumId w:val="32"/>
  </w:num>
  <w:num w:numId="25" w16cid:durableId="1472362148">
    <w:abstractNumId w:val="51"/>
  </w:num>
  <w:num w:numId="26" w16cid:durableId="2104302495">
    <w:abstractNumId w:val="52"/>
  </w:num>
  <w:num w:numId="27" w16cid:durableId="1356922941">
    <w:abstractNumId w:val="24"/>
  </w:num>
  <w:num w:numId="28" w16cid:durableId="61804682">
    <w:abstractNumId w:val="31"/>
  </w:num>
  <w:num w:numId="29" w16cid:durableId="1740134482">
    <w:abstractNumId w:val="48"/>
  </w:num>
  <w:num w:numId="30" w16cid:durableId="622999843">
    <w:abstractNumId w:val="21"/>
  </w:num>
  <w:num w:numId="31" w16cid:durableId="560560595">
    <w:abstractNumId w:val="46"/>
  </w:num>
  <w:num w:numId="32" w16cid:durableId="216205221">
    <w:abstractNumId w:val="15"/>
  </w:num>
  <w:num w:numId="33" w16cid:durableId="562564123">
    <w:abstractNumId w:val="26"/>
  </w:num>
  <w:num w:numId="34" w16cid:durableId="1903371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99447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4651082">
    <w:abstractNumId w:val="42"/>
  </w:num>
  <w:num w:numId="37" w16cid:durableId="309216877">
    <w:abstractNumId w:val="50"/>
  </w:num>
  <w:num w:numId="38" w16cid:durableId="2032874036">
    <w:abstractNumId w:val="11"/>
  </w:num>
  <w:num w:numId="39" w16cid:durableId="1332759272">
    <w:abstractNumId w:val="30"/>
  </w:num>
  <w:num w:numId="40" w16cid:durableId="1460874618">
    <w:abstractNumId w:val="28"/>
  </w:num>
  <w:num w:numId="41" w16cid:durableId="1843272915">
    <w:abstractNumId w:val="49"/>
  </w:num>
  <w:num w:numId="42" w16cid:durableId="1272863235">
    <w:abstractNumId w:val="34"/>
  </w:num>
  <w:num w:numId="43" w16cid:durableId="175004946">
    <w:abstractNumId w:val="44"/>
  </w:num>
  <w:num w:numId="44" w16cid:durableId="1024088530">
    <w:abstractNumId w:val="33"/>
  </w:num>
  <w:num w:numId="45" w16cid:durableId="720518986">
    <w:abstractNumId w:val="39"/>
  </w:num>
  <w:num w:numId="46" w16cid:durableId="19823605">
    <w:abstractNumId w:val="12"/>
  </w:num>
  <w:num w:numId="47" w16cid:durableId="665062278">
    <w:abstractNumId w:val="45"/>
  </w:num>
  <w:num w:numId="48" w16cid:durableId="899556522">
    <w:abstractNumId w:val="22"/>
  </w:num>
  <w:num w:numId="49" w16cid:durableId="1971591011">
    <w:abstractNumId w:val="36"/>
  </w:num>
  <w:num w:numId="50" w16cid:durableId="296229980">
    <w:abstractNumId w:val="29"/>
  </w:num>
  <w:num w:numId="51" w16cid:durableId="1730496834">
    <w:abstractNumId w:val="23"/>
  </w:num>
  <w:num w:numId="52" w16cid:durableId="1321695099">
    <w:abstractNumId w:val="13"/>
  </w:num>
  <w:num w:numId="53" w16cid:durableId="1238172564">
    <w:abstractNumId w:val="14"/>
  </w:num>
  <w:num w:numId="54" w16cid:durableId="53261580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283"/>
  <w:drawingGridVerticalSpacing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9E"/>
    <w:rsid w:val="0000089F"/>
    <w:rsid w:val="000012D2"/>
    <w:rsid w:val="0000256B"/>
    <w:rsid w:val="00003E74"/>
    <w:rsid w:val="00005B8B"/>
    <w:rsid w:val="0000695E"/>
    <w:rsid w:val="0001017E"/>
    <w:rsid w:val="000101A9"/>
    <w:rsid w:val="00011B5B"/>
    <w:rsid w:val="000130C5"/>
    <w:rsid w:val="00013553"/>
    <w:rsid w:val="00014496"/>
    <w:rsid w:val="000148BF"/>
    <w:rsid w:val="00014CA9"/>
    <w:rsid w:val="0001719B"/>
    <w:rsid w:val="00021259"/>
    <w:rsid w:val="0002236D"/>
    <w:rsid w:val="00023FDA"/>
    <w:rsid w:val="00024BE3"/>
    <w:rsid w:val="00025518"/>
    <w:rsid w:val="00027B88"/>
    <w:rsid w:val="00027CA4"/>
    <w:rsid w:val="00030D15"/>
    <w:rsid w:val="00031951"/>
    <w:rsid w:val="0003260A"/>
    <w:rsid w:val="0003392A"/>
    <w:rsid w:val="00033F0E"/>
    <w:rsid w:val="0003531F"/>
    <w:rsid w:val="00035CF2"/>
    <w:rsid w:val="00036F84"/>
    <w:rsid w:val="00037260"/>
    <w:rsid w:val="00040EFA"/>
    <w:rsid w:val="000416DE"/>
    <w:rsid w:val="000421E8"/>
    <w:rsid w:val="0004225D"/>
    <w:rsid w:val="00042B3D"/>
    <w:rsid w:val="000439CD"/>
    <w:rsid w:val="00044C8E"/>
    <w:rsid w:val="00045475"/>
    <w:rsid w:val="000467B2"/>
    <w:rsid w:val="00046D5C"/>
    <w:rsid w:val="000478BB"/>
    <w:rsid w:val="0005082C"/>
    <w:rsid w:val="00050CA2"/>
    <w:rsid w:val="00050DC4"/>
    <w:rsid w:val="00050FC6"/>
    <w:rsid w:val="000520AF"/>
    <w:rsid w:val="0005261F"/>
    <w:rsid w:val="0005432F"/>
    <w:rsid w:val="0005465C"/>
    <w:rsid w:val="000569A4"/>
    <w:rsid w:val="00057A7B"/>
    <w:rsid w:val="00057D70"/>
    <w:rsid w:val="00060B09"/>
    <w:rsid w:val="000612A0"/>
    <w:rsid w:val="00061DBC"/>
    <w:rsid w:val="00062C2E"/>
    <w:rsid w:val="000632A7"/>
    <w:rsid w:val="0006449F"/>
    <w:rsid w:val="00065D53"/>
    <w:rsid w:val="00066CF5"/>
    <w:rsid w:val="00066DB4"/>
    <w:rsid w:val="00067951"/>
    <w:rsid w:val="00070837"/>
    <w:rsid w:val="00070A28"/>
    <w:rsid w:val="00070F3C"/>
    <w:rsid w:val="00070F69"/>
    <w:rsid w:val="00071069"/>
    <w:rsid w:val="00071367"/>
    <w:rsid w:val="00071786"/>
    <w:rsid w:val="00071A39"/>
    <w:rsid w:val="00072952"/>
    <w:rsid w:val="00073110"/>
    <w:rsid w:val="00077312"/>
    <w:rsid w:val="00077DA5"/>
    <w:rsid w:val="00080C3D"/>
    <w:rsid w:val="00080DDC"/>
    <w:rsid w:val="0008150C"/>
    <w:rsid w:val="00081977"/>
    <w:rsid w:val="000838F1"/>
    <w:rsid w:val="00085298"/>
    <w:rsid w:val="00085A35"/>
    <w:rsid w:val="00085CF7"/>
    <w:rsid w:val="00087250"/>
    <w:rsid w:val="0008728E"/>
    <w:rsid w:val="0009094A"/>
    <w:rsid w:val="00091333"/>
    <w:rsid w:val="00091527"/>
    <w:rsid w:val="000923A9"/>
    <w:rsid w:val="00092969"/>
    <w:rsid w:val="00094134"/>
    <w:rsid w:val="00094C6A"/>
    <w:rsid w:val="00094CD8"/>
    <w:rsid w:val="0009639E"/>
    <w:rsid w:val="0009652A"/>
    <w:rsid w:val="00096ECC"/>
    <w:rsid w:val="00097024"/>
    <w:rsid w:val="000A0158"/>
    <w:rsid w:val="000A24AC"/>
    <w:rsid w:val="000A26CE"/>
    <w:rsid w:val="000A2F90"/>
    <w:rsid w:val="000A4E90"/>
    <w:rsid w:val="000A5511"/>
    <w:rsid w:val="000A55A7"/>
    <w:rsid w:val="000A6038"/>
    <w:rsid w:val="000A6292"/>
    <w:rsid w:val="000A68F4"/>
    <w:rsid w:val="000A72D1"/>
    <w:rsid w:val="000A7872"/>
    <w:rsid w:val="000B1417"/>
    <w:rsid w:val="000B201A"/>
    <w:rsid w:val="000B30E4"/>
    <w:rsid w:val="000B32B7"/>
    <w:rsid w:val="000B4F7C"/>
    <w:rsid w:val="000B562B"/>
    <w:rsid w:val="000B59A3"/>
    <w:rsid w:val="000B648B"/>
    <w:rsid w:val="000B6689"/>
    <w:rsid w:val="000B738F"/>
    <w:rsid w:val="000C0102"/>
    <w:rsid w:val="000C0C6F"/>
    <w:rsid w:val="000C1C37"/>
    <w:rsid w:val="000C3385"/>
    <w:rsid w:val="000C39C4"/>
    <w:rsid w:val="000C5B9A"/>
    <w:rsid w:val="000C5D37"/>
    <w:rsid w:val="000C5E1A"/>
    <w:rsid w:val="000C7A94"/>
    <w:rsid w:val="000C7DC6"/>
    <w:rsid w:val="000C7E34"/>
    <w:rsid w:val="000C7E68"/>
    <w:rsid w:val="000D0894"/>
    <w:rsid w:val="000D1B7A"/>
    <w:rsid w:val="000D1B9E"/>
    <w:rsid w:val="000D1D7D"/>
    <w:rsid w:val="000D2075"/>
    <w:rsid w:val="000D20ED"/>
    <w:rsid w:val="000D3ED7"/>
    <w:rsid w:val="000D42E6"/>
    <w:rsid w:val="000D4D93"/>
    <w:rsid w:val="000D5F16"/>
    <w:rsid w:val="000D7114"/>
    <w:rsid w:val="000D7EC4"/>
    <w:rsid w:val="000E0731"/>
    <w:rsid w:val="000E08D2"/>
    <w:rsid w:val="000E293B"/>
    <w:rsid w:val="000E3E0C"/>
    <w:rsid w:val="000E517F"/>
    <w:rsid w:val="000E536C"/>
    <w:rsid w:val="000E53F7"/>
    <w:rsid w:val="000E550B"/>
    <w:rsid w:val="000F0BC4"/>
    <w:rsid w:val="000F0FE1"/>
    <w:rsid w:val="000F17F1"/>
    <w:rsid w:val="000F2151"/>
    <w:rsid w:val="000F3C58"/>
    <w:rsid w:val="000F3D6C"/>
    <w:rsid w:val="000F567D"/>
    <w:rsid w:val="000F5DF1"/>
    <w:rsid w:val="000F7880"/>
    <w:rsid w:val="00101DFB"/>
    <w:rsid w:val="00103B14"/>
    <w:rsid w:val="00104080"/>
    <w:rsid w:val="00104258"/>
    <w:rsid w:val="00104987"/>
    <w:rsid w:val="001055A1"/>
    <w:rsid w:val="001059BD"/>
    <w:rsid w:val="00106788"/>
    <w:rsid w:val="00106C38"/>
    <w:rsid w:val="00106F93"/>
    <w:rsid w:val="00107986"/>
    <w:rsid w:val="00107A65"/>
    <w:rsid w:val="001104D8"/>
    <w:rsid w:val="001110E4"/>
    <w:rsid w:val="001117FB"/>
    <w:rsid w:val="00111A95"/>
    <w:rsid w:val="0011507C"/>
    <w:rsid w:val="00120692"/>
    <w:rsid w:val="0012070C"/>
    <w:rsid w:val="001232D7"/>
    <w:rsid w:val="00123709"/>
    <w:rsid w:val="0012396D"/>
    <w:rsid w:val="001247F1"/>
    <w:rsid w:val="00124A3F"/>
    <w:rsid w:val="00124D28"/>
    <w:rsid w:val="001250E1"/>
    <w:rsid w:val="00125235"/>
    <w:rsid w:val="00125430"/>
    <w:rsid w:val="00125977"/>
    <w:rsid w:val="00125B9A"/>
    <w:rsid w:val="00130461"/>
    <w:rsid w:val="00131952"/>
    <w:rsid w:val="001322B6"/>
    <w:rsid w:val="001330B7"/>
    <w:rsid w:val="00133D66"/>
    <w:rsid w:val="00134CE3"/>
    <w:rsid w:val="001353BF"/>
    <w:rsid w:val="0013552D"/>
    <w:rsid w:val="001358CC"/>
    <w:rsid w:val="00137F95"/>
    <w:rsid w:val="0014393E"/>
    <w:rsid w:val="00144C46"/>
    <w:rsid w:val="001451D6"/>
    <w:rsid w:val="001463E1"/>
    <w:rsid w:val="001469DD"/>
    <w:rsid w:val="001477A5"/>
    <w:rsid w:val="00147EA9"/>
    <w:rsid w:val="00150F42"/>
    <w:rsid w:val="001516C5"/>
    <w:rsid w:val="00151CEE"/>
    <w:rsid w:val="001539B0"/>
    <w:rsid w:val="00153AD6"/>
    <w:rsid w:val="00156D99"/>
    <w:rsid w:val="00160849"/>
    <w:rsid w:val="00160926"/>
    <w:rsid w:val="00160F7F"/>
    <w:rsid w:val="00161323"/>
    <w:rsid w:val="001625F6"/>
    <w:rsid w:val="001626B7"/>
    <w:rsid w:val="00164A43"/>
    <w:rsid w:val="001650A7"/>
    <w:rsid w:val="001656E7"/>
    <w:rsid w:val="001667F6"/>
    <w:rsid w:val="0016703E"/>
    <w:rsid w:val="0016712C"/>
    <w:rsid w:val="00167617"/>
    <w:rsid w:val="00170B5E"/>
    <w:rsid w:val="00172204"/>
    <w:rsid w:val="001722A4"/>
    <w:rsid w:val="00172383"/>
    <w:rsid w:val="00173840"/>
    <w:rsid w:val="001738B1"/>
    <w:rsid w:val="0017470E"/>
    <w:rsid w:val="00175D76"/>
    <w:rsid w:val="0017628A"/>
    <w:rsid w:val="00176527"/>
    <w:rsid w:val="001819F3"/>
    <w:rsid w:val="00181DCC"/>
    <w:rsid w:val="001822B6"/>
    <w:rsid w:val="00183EC4"/>
    <w:rsid w:val="0018447C"/>
    <w:rsid w:val="001861D3"/>
    <w:rsid w:val="001867B7"/>
    <w:rsid w:val="00187605"/>
    <w:rsid w:val="00191109"/>
    <w:rsid w:val="00191387"/>
    <w:rsid w:val="0019178A"/>
    <w:rsid w:val="001926FE"/>
    <w:rsid w:val="00193FC1"/>
    <w:rsid w:val="0019402D"/>
    <w:rsid w:val="00195330"/>
    <w:rsid w:val="001954BB"/>
    <w:rsid w:val="0019669B"/>
    <w:rsid w:val="00197C57"/>
    <w:rsid w:val="001A0755"/>
    <w:rsid w:val="001A17DD"/>
    <w:rsid w:val="001A2ECB"/>
    <w:rsid w:val="001A32CC"/>
    <w:rsid w:val="001A3DEF"/>
    <w:rsid w:val="001A3FC9"/>
    <w:rsid w:val="001A40A7"/>
    <w:rsid w:val="001A46B1"/>
    <w:rsid w:val="001B02D7"/>
    <w:rsid w:val="001B269F"/>
    <w:rsid w:val="001B28FF"/>
    <w:rsid w:val="001B2E13"/>
    <w:rsid w:val="001B3091"/>
    <w:rsid w:val="001B3DAF"/>
    <w:rsid w:val="001B5073"/>
    <w:rsid w:val="001B7B82"/>
    <w:rsid w:val="001B7C0C"/>
    <w:rsid w:val="001C15E3"/>
    <w:rsid w:val="001C2CC0"/>
    <w:rsid w:val="001C3B6C"/>
    <w:rsid w:val="001C41D0"/>
    <w:rsid w:val="001C4EA2"/>
    <w:rsid w:val="001C6636"/>
    <w:rsid w:val="001C7F25"/>
    <w:rsid w:val="001D0088"/>
    <w:rsid w:val="001D052E"/>
    <w:rsid w:val="001D0C5B"/>
    <w:rsid w:val="001D13B7"/>
    <w:rsid w:val="001D1CCA"/>
    <w:rsid w:val="001D22B1"/>
    <w:rsid w:val="001D23E1"/>
    <w:rsid w:val="001D475D"/>
    <w:rsid w:val="001D56D0"/>
    <w:rsid w:val="001D5B63"/>
    <w:rsid w:val="001D5C3F"/>
    <w:rsid w:val="001D61B0"/>
    <w:rsid w:val="001D666D"/>
    <w:rsid w:val="001E0B6C"/>
    <w:rsid w:val="001E0FC0"/>
    <w:rsid w:val="001E2D8E"/>
    <w:rsid w:val="001E41D2"/>
    <w:rsid w:val="001E4257"/>
    <w:rsid w:val="001E4CD9"/>
    <w:rsid w:val="001E55B8"/>
    <w:rsid w:val="001E5B40"/>
    <w:rsid w:val="001E5DC6"/>
    <w:rsid w:val="001E7468"/>
    <w:rsid w:val="001F00C3"/>
    <w:rsid w:val="001F0A2D"/>
    <w:rsid w:val="001F19D9"/>
    <w:rsid w:val="001F2083"/>
    <w:rsid w:val="001F2BE0"/>
    <w:rsid w:val="001F45C3"/>
    <w:rsid w:val="001F4B62"/>
    <w:rsid w:val="001F5396"/>
    <w:rsid w:val="001F54EE"/>
    <w:rsid w:val="001F5578"/>
    <w:rsid w:val="001F5C9A"/>
    <w:rsid w:val="001F5CF3"/>
    <w:rsid w:val="001F6282"/>
    <w:rsid w:val="001F6859"/>
    <w:rsid w:val="001F6983"/>
    <w:rsid w:val="001F6D82"/>
    <w:rsid w:val="0020073A"/>
    <w:rsid w:val="00200BED"/>
    <w:rsid w:val="00201D81"/>
    <w:rsid w:val="002022FD"/>
    <w:rsid w:val="002024BA"/>
    <w:rsid w:val="0020281B"/>
    <w:rsid w:val="0020336F"/>
    <w:rsid w:val="0020538D"/>
    <w:rsid w:val="00206203"/>
    <w:rsid w:val="00206A73"/>
    <w:rsid w:val="0021036C"/>
    <w:rsid w:val="00210632"/>
    <w:rsid w:val="00210865"/>
    <w:rsid w:val="00210C5A"/>
    <w:rsid w:val="002131FF"/>
    <w:rsid w:val="0021388B"/>
    <w:rsid w:val="00214021"/>
    <w:rsid w:val="00215086"/>
    <w:rsid w:val="002151CF"/>
    <w:rsid w:val="002177FC"/>
    <w:rsid w:val="002206CE"/>
    <w:rsid w:val="00221308"/>
    <w:rsid w:val="00222093"/>
    <w:rsid w:val="00223189"/>
    <w:rsid w:val="0022411C"/>
    <w:rsid w:val="0022463E"/>
    <w:rsid w:val="0022522C"/>
    <w:rsid w:val="00225877"/>
    <w:rsid w:val="00227EDC"/>
    <w:rsid w:val="00230967"/>
    <w:rsid w:val="002310B6"/>
    <w:rsid w:val="002316F9"/>
    <w:rsid w:val="002317F5"/>
    <w:rsid w:val="00232484"/>
    <w:rsid w:val="00232CD0"/>
    <w:rsid w:val="00233F3C"/>
    <w:rsid w:val="00234EB8"/>
    <w:rsid w:val="002357A1"/>
    <w:rsid w:val="00236DF9"/>
    <w:rsid w:val="0023753F"/>
    <w:rsid w:val="00237E11"/>
    <w:rsid w:val="00240684"/>
    <w:rsid w:val="002424D3"/>
    <w:rsid w:val="0024266B"/>
    <w:rsid w:val="00242724"/>
    <w:rsid w:val="002440E6"/>
    <w:rsid w:val="00245805"/>
    <w:rsid w:val="002458AC"/>
    <w:rsid w:val="0024596F"/>
    <w:rsid w:val="002465B1"/>
    <w:rsid w:val="00250A76"/>
    <w:rsid w:val="00251F01"/>
    <w:rsid w:val="00252205"/>
    <w:rsid w:val="0025312F"/>
    <w:rsid w:val="002532CD"/>
    <w:rsid w:val="002538EA"/>
    <w:rsid w:val="00254A55"/>
    <w:rsid w:val="00254D35"/>
    <w:rsid w:val="00254E38"/>
    <w:rsid w:val="00255A13"/>
    <w:rsid w:val="002568EF"/>
    <w:rsid w:val="00256D7C"/>
    <w:rsid w:val="00262D23"/>
    <w:rsid w:val="0026359A"/>
    <w:rsid w:val="002635A4"/>
    <w:rsid w:val="00264458"/>
    <w:rsid w:val="00264B30"/>
    <w:rsid w:val="00265A26"/>
    <w:rsid w:val="00265A68"/>
    <w:rsid w:val="00265B35"/>
    <w:rsid w:val="00265D87"/>
    <w:rsid w:val="00266666"/>
    <w:rsid w:val="00267379"/>
    <w:rsid w:val="0026793C"/>
    <w:rsid w:val="00270658"/>
    <w:rsid w:val="002721A6"/>
    <w:rsid w:val="002725F7"/>
    <w:rsid w:val="00273665"/>
    <w:rsid w:val="00273887"/>
    <w:rsid w:val="002758D1"/>
    <w:rsid w:val="00275D1F"/>
    <w:rsid w:val="0027648A"/>
    <w:rsid w:val="00276536"/>
    <w:rsid w:val="00277B46"/>
    <w:rsid w:val="00277BD1"/>
    <w:rsid w:val="0027C93F"/>
    <w:rsid w:val="00281AAE"/>
    <w:rsid w:val="00281C07"/>
    <w:rsid w:val="00282974"/>
    <w:rsid w:val="00282FA2"/>
    <w:rsid w:val="002856EE"/>
    <w:rsid w:val="002866DC"/>
    <w:rsid w:val="002875B1"/>
    <w:rsid w:val="00290181"/>
    <w:rsid w:val="00290699"/>
    <w:rsid w:val="00290882"/>
    <w:rsid w:val="00291851"/>
    <w:rsid w:val="00292237"/>
    <w:rsid w:val="002926B6"/>
    <w:rsid w:val="00292ACE"/>
    <w:rsid w:val="002942FB"/>
    <w:rsid w:val="0029439F"/>
    <w:rsid w:val="002949FA"/>
    <w:rsid w:val="00294AB1"/>
    <w:rsid w:val="00297B7C"/>
    <w:rsid w:val="002A3FBF"/>
    <w:rsid w:val="002A435C"/>
    <w:rsid w:val="002A6144"/>
    <w:rsid w:val="002A73CA"/>
    <w:rsid w:val="002B089B"/>
    <w:rsid w:val="002B0D0B"/>
    <w:rsid w:val="002B1111"/>
    <w:rsid w:val="002B1133"/>
    <w:rsid w:val="002B23FA"/>
    <w:rsid w:val="002B29E5"/>
    <w:rsid w:val="002B2D4B"/>
    <w:rsid w:val="002B2E49"/>
    <w:rsid w:val="002B3240"/>
    <w:rsid w:val="002B4944"/>
    <w:rsid w:val="002B4DA4"/>
    <w:rsid w:val="002B5967"/>
    <w:rsid w:val="002B6947"/>
    <w:rsid w:val="002B74A9"/>
    <w:rsid w:val="002C0CB5"/>
    <w:rsid w:val="002C1725"/>
    <w:rsid w:val="002C31DF"/>
    <w:rsid w:val="002C62E3"/>
    <w:rsid w:val="002C68E4"/>
    <w:rsid w:val="002C691A"/>
    <w:rsid w:val="002C7568"/>
    <w:rsid w:val="002D0CCC"/>
    <w:rsid w:val="002D13F2"/>
    <w:rsid w:val="002D1601"/>
    <w:rsid w:val="002D1D61"/>
    <w:rsid w:val="002D1F01"/>
    <w:rsid w:val="002D3CD8"/>
    <w:rsid w:val="002D4443"/>
    <w:rsid w:val="002D4654"/>
    <w:rsid w:val="002D62C5"/>
    <w:rsid w:val="002D647D"/>
    <w:rsid w:val="002D653A"/>
    <w:rsid w:val="002D707E"/>
    <w:rsid w:val="002E142C"/>
    <w:rsid w:val="002E1ACB"/>
    <w:rsid w:val="002E29CD"/>
    <w:rsid w:val="002E7130"/>
    <w:rsid w:val="002E7315"/>
    <w:rsid w:val="002F13CB"/>
    <w:rsid w:val="002F1714"/>
    <w:rsid w:val="002F33F4"/>
    <w:rsid w:val="002F3CEB"/>
    <w:rsid w:val="002F4011"/>
    <w:rsid w:val="002F4821"/>
    <w:rsid w:val="002F65A2"/>
    <w:rsid w:val="002F6C1A"/>
    <w:rsid w:val="002F7E50"/>
    <w:rsid w:val="00300748"/>
    <w:rsid w:val="003013F2"/>
    <w:rsid w:val="003023A1"/>
    <w:rsid w:val="00304EDC"/>
    <w:rsid w:val="0030520F"/>
    <w:rsid w:val="003061FF"/>
    <w:rsid w:val="003064BF"/>
    <w:rsid w:val="00306EFE"/>
    <w:rsid w:val="00310C56"/>
    <w:rsid w:val="00311031"/>
    <w:rsid w:val="003110F9"/>
    <w:rsid w:val="00312EC9"/>
    <w:rsid w:val="00316CDD"/>
    <w:rsid w:val="00317517"/>
    <w:rsid w:val="00317844"/>
    <w:rsid w:val="00317B28"/>
    <w:rsid w:val="003212AB"/>
    <w:rsid w:val="00321975"/>
    <w:rsid w:val="003224BA"/>
    <w:rsid w:val="00324831"/>
    <w:rsid w:val="00324A0E"/>
    <w:rsid w:val="00324E9C"/>
    <w:rsid w:val="00326926"/>
    <w:rsid w:val="00326961"/>
    <w:rsid w:val="0032796F"/>
    <w:rsid w:val="00331656"/>
    <w:rsid w:val="00331BDC"/>
    <w:rsid w:val="00332B66"/>
    <w:rsid w:val="00334171"/>
    <w:rsid w:val="003347F3"/>
    <w:rsid w:val="003350C3"/>
    <w:rsid w:val="00335940"/>
    <w:rsid w:val="00336089"/>
    <w:rsid w:val="00336526"/>
    <w:rsid w:val="00336C5E"/>
    <w:rsid w:val="00337BEB"/>
    <w:rsid w:val="00337EF0"/>
    <w:rsid w:val="003403B3"/>
    <w:rsid w:val="00340BD1"/>
    <w:rsid w:val="00340CA6"/>
    <w:rsid w:val="0034163F"/>
    <w:rsid w:val="0034193E"/>
    <w:rsid w:val="00341DE3"/>
    <w:rsid w:val="0034388C"/>
    <w:rsid w:val="00343C38"/>
    <w:rsid w:val="0034461A"/>
    <w:rsid w:val="00344E9B"/>
    <w:rsid w:val="003450E5"/>
    <w:rsid w:val="00346886"/>
    <w:rsid w:val="003478A1"/>
    <w:rsid w:val="0035019E"/>
    <w:rsid w:val="00351AAF"/>
    <w:rsid w:val="00351AC9"/>
    <w:rsid w:val="0035309A"/>
    <w:rsid w:val="00354105"/>
    <w:rsid w:val="00355151"/>
    <w:rsid w:val="003564FE"/>
    <w:rsid w:val="00356861"/>
    <w:rsid w:val="00357815"/>
    <w:rsid w:val="003611AB"/>
    <w:rsid w:val="00363940"/>
    <w:rsid w:val="00364430"/>
    <w:rsid w:val="0036469D"/>
    <w:rsid w:val="00364EAA"/>
    <w:rsid w:val="00366578"/>
    <w:rsid w:val="00366711"/>
    <w:rsid w:val="00367C90"/>
    <w:rsid w:val="00367E9C"/>
    <w:rsid w:val="003702AF"/>
    <w:rsid w:val="003705E8"/>
    <w:rsid w:val="00370B36"/>
    <w:rsid w:val="00370DCF"/>
    <w:rsid w:val="003713E9"/>
    <w:rsid w:val="00372B19"/>
    <w:rsid w:val="00373402"/>
    <w:rsid w:val="00374C75"/>
    <w:rsid w:val="00375861"/>
    <w:rsid w:val="0037616D"/>
    <w:rsid w:val="003763CB"/>
    <w:rsid w:val="003763D8"/>
    <w:rsid w:val="0037652F"/>
    <w:rsid w:val="00376A3E"/>
    <w:rsid w:val="00376E26"/>
    <w:rsid w:val="00377E2D"/>
    <w:rsid w:val="0038189F"/>
    <w:rsid w:val="0038255A"/>
    <w:rsid w:val="00382E55"/>
    <w:rsid w:val="003831AE"/>
    <w:rsid w:val="00383897"/>
    <w:rsid w:val="0038461A"/>
    <w:rsid w:val="00384963"/>
    <w:rsid w:val="00384F71"/>
    <w:rsid w:val="00385BEA"/>
    <w:rsid w:val="0038752D"/>
    <w:rsid w:val="00387CFE"/>
    <w:rsid w:val="0039101B"/>
    <w:rsid w:val="00391187"/>
    <w:rsid w:val="003911FA"/>
    <w:rsid w:val="00391415"/>
    <w:rsid w:val="00392A8E"/>
    <w:rsid w:val="00393187"/>
    <w:rsid w:val="00394768"/>
    <w:rsid w:val="003949F9"/>
    <w:rsid w:val="0039628D"/>
    <w:rsid w:val="003965EB"/>
    <w:rsid w:val="00396CB9"/>
    <w:rsid w:val="0039704D"/>
    <w:rsid w:val="003972C3"/>
    <w:rsid w:val="00397348"/>
    <w:rsid w:val="00397A26"/>
    <w:rsid w:val="003A0C6B"/>
    <w:rsid w:val="003A2506"/>
    <w:rsid w:val="003A2FD8"/>
    <w:rsid w:val="003A30D5"/>
    <w:rsid w:val="003A3D38"/>
    <w:rsid w:val="003A46DA"/>
    <w:rsid w:val="003A57D1"/>
    <w:rsid w:val="003A6A25"/>
    <w:rsid w:val="003A7AC4"/>
    <w:rsid w:val="003B01A3"/>
    <w:rsid w:val="003B0AA4"/>
    <w:rsid w:val="003B0ECC"/>
    <w:rsid w:val="003B19EE"/>
    <w:rsid w:val="003B36C9"/>
    <w:rsid w:val="003B40F6"/>
    <w:rsid w:val="003B45E8"/>
    <w:rsid w:val="003B68C6"/>
    <w:rsid w:val="003B7299"/>
    <w:rsid w:val="003C0007"/>
    <w:rsid w:val="003C1148"/>
    <w:rsid w:val="003C1B20"/>
    <w:rsid w:val="003C3128"/>
    <w:rsid w:val="003C35D6"/>
    <w:rsid w:val="003C3B04"/>
    <w:rsid w:val="003C3B13"/>
    <w:rsid w:val="003C3BA0"/>
    <w:rsid w:val="003C4618"/>
    <w:rsid w:val="003C748C"/>
    <w:rsid w:val="003C7F3E"/>
    <w:rsid w:val="003C7F8D"/>
    <w:rsid w:val="003C7FB0"/>
    <w:rsid w:val="003D1399"/>
    <w:rsid w:val="003D287F"/>
    <w:rsid w:val="003D2EFC"/>
    <w:rsid w:val="003D4288"/>
    <w:rsid w:val="003D5347"/>
    <w:rsid w:val="003D5FD9"/>
    <w:rsid w:val="003E0820"/>
    <w:rsid w:val="003E21C0"/>
    <w:rsid w:val="003E2E06"/>
    <w:rsid w:val="003E2F03"/>
    <w:rsid w:val="003E30E1"/>
    <w:rsid w:val="003E480E"/>
    <w:rsid w:val="003E4A61"/>
    <w:rsid w:val="003E6EDD"/>
    <w:rsid w:val="003E774F"/>
    <w:rsid w:val="003F0776"/>
    <w:rsid w:val="003F0C8D"/>
    <w:rsid w:val="003F0EEC"/>
    <w:rsid w:val="003F11F4"/>
    <w:rsid w:val="003F29D3"/>
    <w:rsid w:val="003F2E60"/>
    <w:rsid w:val="003F2F28"/>
    <w:rsid w:val="003F30F9"/>
    <w:rsid w:val="003F31B7"/>
    <w:rsid w:val="003F336A"/>
    <w:rsid w:val="003F422D"/>
    <w:rsid w:val="003F4F42"/>
    <w:rsid w:val="003F5045"/>
    <w:rsid w:val="003F57DD"/>
    <w:rsid w:val="003F69DC"/>
    <w:rsid w:val="00400062"/>
    <w:rsid w:val="004001E6"/>
    <w:rsid w:val="004017E4"/>
    <w:rsid w:val="00401E24"/>
    <w:rsid w:val="00401F99"/>
    <w:rsid w:val="00402095"/>
    <w:rsid w:val="00402A7D"/>
    <w:rsid w:val="004036B1"/>
    <w:rsid w:val="00404D72"/>
    <w:rsid w:val="00404E09"/>
    <w:rsid w:val="004066DF"/>
    <w:rsid w:val="004115D9"/>
    <w:rsid w:val="004123BE"/>
    <w:rsid w:val="00412844"/>
    <w:rsid w:val="00414262"/>
    <w:rsid w:val="00415D6C"/>
    <w:rsid w:val="00416A1F"/>
    <w:rsid w:val="0042097C"/>
    <w:rsid w:val="00425312"/>
    <w:rsid w:val="004257A5"/>
    <w:rsid w:val="00425ABC"/>
    <w:rsid w:val="00427458"/>
    <w:rsid w:val="004274D2"/>
    <w:rsid w:val="004300CD"/>
    <w:rsid w:val="0043047F"/>
    <w:rsid w:val="00430526"/>
    <w:rsid w:val="00431A7E"/>
    <w:rsid w:val="004324C8"/>
    <w:rsid w:val="00432677"/>
    <w:rsid w:val="0043373E"/>
    <w:rsid w:val="00434BD3"/>
    <w:rsid w:val="00435AA5"/>
    <w:rsid w:val="00435FE5"/>
    <w:rsid w:val="0043652C"/>
    <w:rsid w:val="00436EB3"/>
    <w:rsid w:val="00441867"/>
    <w:rsid w:val="004433D9"/>
    <w:rsid w:val="004441D8"/>
    <w:rsid w:val="0044531E"/>
    <w:rsid w:val="004453A9"/>
    <w:rsid w:val="00445E5E"/>
    <w:rsid w:val="004478F0"/>
    <w:rsid w:val="00447B15"/>
    <w:rsid w:val="00450528"/>
    <w:rsid w:val="00450778"/>
    <w:rsid w:val="00451603"/>
    <w:rsid w:val="00451663"/>
    <w:rsid w:val="004522D0"/>
    <w:rsid w:val="0045439D"/>
    <w:rsid w:val="004547DA"/>
    <w:rsid w:val="00454B11"/>
    <w:rsid w:val="00454D4D"/>
    <w:rsid w:val="004554DA"/>
    <w:rsid w:val="00457038"/>
    <w:rsid w:val="00457467"/>
    <w:rsid w:val="0046018C"/>
    <w:rsid w:val="00460528"/>
    <w:rsid w:val="0046189A"/>
    <w:rsid w:val="00462585"/>
    <w:rsid w:val="0046277B"/>
    <w:rsid w:val="004629C1"/>
    <w:rsid w:val="00462E1C"/>
    <w:rsid w:val="00463B86"/>
    <w:rsid w:val="004641D9"/>
    <w:rsid w:val="0046502A"/>
    <w:rsid w:val="00465136"/>
    <w:rsid w:val="00466CF2"/>
    <w:rsid w:val="004717D6"/>
    <w:rsid w:val="00471879"/>
    <w:rsid w:val="00471E00"/>
    <w:rsid w:val="00473B1C"/>
    <w:rsid w:val="0047404A"/>
    <w:rsid w:val="0047468B"/>
    <w:rsid w:val="00477CFF"/>
    <w:rsid w:val="00477D7B"/>
    <w:rsid w:val="0048073B"/>
    <w:rsid w:val="00480FA5"/>
    <w:rsid w:val="004827B2"/>
    <w:rsid w:val="00484755"/>
    <w:rsid w:val="004862C9"/>
    <w:rsid w:val="00486B5C"/>
    <w:rsid w:val="00486BF9"/>
    <w:rsid w:val="0048713F"/>
    <w:rsid w:val="00487402"/>
    <w:rsid w:val="0048771E"/>
    <w:rsid w:val="00487A28"/>
    <w:rsid w:val="0049083E"/>
    <w:rsid w:val="00492494"/>
    <w:rsid w:val="004934BE"/>
    <w:rsid w:val="004938D3"/>
    <w:rsid w:val="00494562"/>
    <w:rsid w:val="0049486B"/>
    <w:rsid w:val="004957E7"/>
    <w:rsid w:val="00495F04"/>
    <w:rsid w:val="004962E2"/>
    <w:rsid w:val="004968B1"/>
    <w:rsid w:val="004975D5"/>
    <w:rsid w:val="00497990"/>
    <w:rsid w:val="004A0632"/>
    <w:rsid w:val="004A0E03"/>
    <w:rsid w:val="004A2ACD"/>
    <w:rsid w:val="004A2E09"/>
    <w:rsid w:val="004A32E4"/>
    <w:rsid w:val="004A355F"/>
    <w:rsid w:val="004A3A5B"/>
    <w:rsid w:val="004A3CA7"/>
    <w:rsid w:val="004A4715"/>
    <w:rsid w:val="004A507C"/>
    <w:rsid w:val="004A521E"/>
    <w:rsid w:val="004A6073"/>
    <w:rsid w:val="004B111F"/>
    <w:rsid w:val="004B160F"/>
    <w:rsid w:val="004B1B25"/>
    <w:rsid w:val="004B3874"/>
    <w:rsid w:val="004B3E29"/>
    <w:rsid w:val="004B3FBF"/>
    <w:rsid w:val="004B5728"/>
    <w:rsid w:val="004B7F44"/>
    <w:rsid w:val="004C1063"/>
    <w:rsid w:val="004C3449"/>
    <w:rsid w:val="004C3EA6"/>
    <w:rsid w:val="004C4A64"/>
    <w:rsid w:val="004C6CDE"/>
    <w:rsid w:val="004C6D9B"/>
    <w:rsid w:val="004D1105"/>
    <w:rsid w:val="004D25DA"/>
    <w:rsid w:val="004D2604"/>
    <w:rsid w:val="004D3E65"/>
    <w:rsid w:val="004D3E89"/>
    <w:rsid w:val="004D4CBA"/>
    <w:rsid w:val="004D605F"/>
    <w:rsid w:val="004D7661"/>
    <w:rsid w:val="004E0ED8"/>
    <w:rsid w:val="004E1CC1"/>
    <w:rsid w:val="004E1E1E"/>
    <w:rsid w:val="004E39DD"/>
    <w:rsid w:val="004E4BD5"/>
    <w:rsid w:val="004E4ED9"/>
    <w:rsid w:val="004E628A"/>
    <w:rsid w:val="004E6A42"/>
    <w:rsid w:val="004E7D22"/>
    <w:rsid w:val="004F0BA6"/>
    <w:rsid w:val="004F0DC4"/>
    <w:rsid w:val="004F1498"/>
    <w:rsid w:val="004F25FA"/>
    <w:rsid w:val="004F2CBB"/>
    <w:rsid w:val="004F3C4B"/>
    <w:rsid w:val="004F4690"/>
    <w:rsid w:val="004F4A1F"/>
    <w:rsid w:val="004F6898"/>
    <w:rsid w:val="004F6A8E"/>
    <w:rsid w:val="004F79F7"/>
    <w:rsid w:val="004F7A38"/>
    <w:rsid w:val="004F7D07"/>
    <w:rsid w:val="00500701"/>
    <w:rsid w:val="0050149F"/>
    <w:rsid w:val="00502C9B"/>
    <w:rsid w:val="00503397"/>
    <w:rsid w:val="005037CE"/>
    <w:rsid w:val="00504FF3"/>
    <w:rsid w:val="0050633E"/>
    <w:rsid w:val="005067EF"/>
    <w:rsid w:val="005072A6"/>
    <w:rsid w:val="00507A3E"/>
    <w:rsid w:val="00507BED"/>
    <w:rsid w:val="00510E8C"/>
    <w:rsid w:val="00510F4D"/>
    <w:rsid w:val="00511798"/>
    <w:rsid w:val="005126AA"/>
    <w:rsid w:val="00513E07"/>
    <w:rsid w:val="00515581"/>
    <w:rsid w:val="0051561F"/>
    <w:rsid w:val="00515909"/>
    <w:rsid w:val="00515EA4"/>
    <w:rsid w:val="00515FE0"/>
    <w:rsid w:val="0051609F"/>
    <w:rsid w:val="005175AD"/>
    <w:rsid w:val="005217BA"/>
    <w:rsid w:val="00522518"/>
    <w:rsid w:val="00522B8C"/>
    <w:rsid w:val="00522D35"/>
    <w:rsid w:val="00523E7A"/>
    <w:rsid w:val="00525EAB"/>
    <w:rsid w:val="0052652C"/>
    <w:rsid w:val="00527A85"/>
    <w:rsid w:val="005303D8"/>
    <w:rsid w:val="00530F62"/>
    <w:rsid w:val="00531A68"/>
    <w:rsid w:val="0053365F"/>
    <w:rsid w:val="00534B92"/>
    <w:rsid w:val="00535AFE"/>
    <w:rsid w:val="0054007D"/>
    <w:rsid w:val="0054047C"/>
    <w:rsid w:val="005407E6"/>
    <w:rsid w:val="00541CA3"/>
    <w:rsid w:val="0054389A"/>
    <w:rsid w:val="00543BF3"/>
    <w:rsid w:val="00543E98"/>
    <w:rsid w:val="00545C9C"/>
    <w:rsid w:val="00550AEC"/>
    <w:rsid w:val="00551D48"/>
    <w:rsid w:val="005576D4"/>
    <w:rsid w:val="00557DA7"/>
    <w:rsid w:val="005607A9"/>
    <w:rsid w:val="00560F36"/>
    <w:rsid w:val="00561211"/>
    <w:rsid w:val="005617FC"/>
    <w:rsid w:val="00562092"/>
    <w:rsid w:val="00562BB7"/>
    <w:rsid w:val="00563089"/>
    <w:rsid w:val="00563D12"/>
    <w:rsid w:val="00564D2C"/>
    <w:rsid w:val="005671EF"/>
    <w:rsid w:val="00567ACF"/>
    <w:rsid w:val="00570294"/>
    <w:rsid w:val="0057085A"/>
    <w:rsid w:val="0057146E"/>
    <w:rsid w:val="00571841"/>
    <w:rsid w:val="00572521"/>
    <w:rsid w:val="00573403"/>
    <w:rsid w:val="00574C13"/>
    <w:rsid w:val="00574C46"/>
    <w:rsid w:val="00575C7A"/>
    <w:rsid w:val="00576CF0"/>
    <w:rsid w:val="00577AD6"/>
    <w:rsid w:val="00577F35"/>
    <w:rsid w:val="005801B6"/>
    <w:rsid w:val="0058082A"/>
    <w:rsid w:val="00580FFA"/>
    <w:rsid w:val="00581C9F"/>
    <w:rsid w:val="005823FC"/>
    <w:rsid w:val="00582ED7"/>
    <w:rsid w:val="0058302D"/>
    <w:rsid w:val="005849EC"/>
    <w:rsid w:val="00584CEC"/>
    <w:rsid w:val="00585C02"/>
    <w:rsid w:val="0058644A"/>
    <w:rsid w:val="005867F1"/>
    <w:rsid w:val="00586810"/>
    <w:rsid w:val="0058717B"/>
    <w:rsid w:val="00587E89"/>
    <w:rsid w:val="0059014A"/>
    <w:rsid w:val="00590F0B"/>
    <w:rsid w:val="00592668"/>
    <w:rsid w:val="00592C50"/>
    <w:rsid w:val="00592ECA"/>
    <w:rsid w:val="00593C39"/>
    <w:rsid w:val="00594D64"/>
    <w:rsid w:val="0059560B"/>
    <w:rsid w:val="0059739E"/>
    <w:rsid w:val="005973FC"/>
    <w:rsid w:val="005977FE"/>
    <w:rsid w:val="005A05E6"/>
    <w:rsid w:val="005A0A81"/>
    <w:rsid w:val="005A0B75"/>
    <w:rsid w:val="005A191E"/>
    <w:rsid w:val="005A49DB"/>
    <w:rsid w:val="005A4E2D"/>
    <w:rsid w:val="005A7DF3"/>
    <w:rsid w:val="005B17E6"/>
    <w:rsid w:val="005B3866"/>
    <w:rsid w:val="005B493F"/>
    <w:rsid w:val="005B59F8"/>
    <w:rsid w:val="005B5B9E"/>
    <w:rsid w:val="005B76DE"/>
    <w:rsid w:val="005C0CC4"/>
    <w:rsid w:val="005C11E3"/>
    <w:rsid w:val="005C2333"/>
    <w:rsid w:val="005C2C69"/>
    <w:rsid w:val="005D04AC"/>
    <w:rsid w:val="005D4F17"/>
    <w:rsid w:val="005D5F2B"/>
    <w:rsid w:val="005D6302"/>
    <w:rsid w:val="005D7E36"/>
    <w:rsid w:val="005E0793"/>
    <w:rsid w:val="005E1D8C"/>
    <w:rsid w:val="005E252F"/>
    <w:rsid w:val="005E3294"/>
    <w:rsid w:val="005E3579"/>
    <w:rsid w:val="005E398B"/>
    <w:rsid w:val="005E3FC1"/>
    <w:rsid w:val="005E6143"/>
    <w:rsid w:val="005E6726"/>
    <w:rsid w:val="005E716A"/>
    <w:rsid w:val="005E76E9"/>
    <w:rsid w:val="005F1010"/>
    <w:rsid w:val="005F1360"/>
    <w:rsid w:val="005F14FB"/>
    <w:rsid w:val="005F1E37"/>
    <w:rsid w:val="005F2810"/>
    <w:rsid w:val="005F4AA3"/>
    <w:rsid w:val="005F546D"/>
    <w:rsid w:val="005F5862"/>
    <w:rsid w:val="005F58FA"/>
    <w:rsid w:val="005F6299"/>
    <w:rsid w:val="005F79AE"/>
    <w:rsid w:val="006001B0"/>
    <w:rsid w:val="00600960"/>
    <w:rsid w:val="00601396"/>
    <w:rsid w:val="00601DC8"/>
    <w:rsid w:val="0060294A"/>
    <w:rsid w:val="00605647"/>
    <w:rsid w:val="0060592B"/>
    <w:rsid w:val="00606028"/>
    <w:rsid w:val="0060713B"/>
    <w:rsid w:val="006074BF"/>
    <w:rsid w:val="00607F82"/>
    <w:rsid w:val="00611157"/>
    <w:rsid w:val="006119E9"/>
    <w:rsid w:val="006130E3"/>
    <w:rsid w:val="00613251"/>
    <w:rsid w:val="00615835"/>
    <w:rsid w:val="00615A04"/>
    <w:rsid w:val="00616F9A"/>
    <w:rsid w:val="00620A23"/>
    <w:rsid w:val="00620B62"/>
    <w:rsid w:val="00620EF7"/>
    <w:rsid w:val="00621082"/>
    <w:rsid w:val="00621357"/>
    <w:rsid w:val="00621626"/>
    <w:rsid w:val="006219E3"/>
    <w:rsid w:val="00621D78"/>
    <w:rsid w:val="006234A7"/>
    <w:rsid w:val="006235F8"/>
    <w:rsid w:val="00624C7B"/>
    <w:rsid w:val="0062537A"/>
    <w:rsid w:val="00626036"/>
    <w:rsid w:val="00627235"/>
    <w:rsid w:val="0062731B"/>
    <w:rsid w:val="0062780B"/>
    <w:rsid w:val="00627AE4"/>
    <w:rsid w:val="00630601"/>
    <w:rsid w:val="00632715"/>
    <w:rsid w:val="00633465"/>
    <w:rsid w:val="0063435F"/>
    <w:rsid w:val="00634825"/>
    <w:rsid w:val="0063694F"/>
    <w:rsid w:val="006369BE"/>
    <w:rsid w:val="006371B1"/>
    <w:rsid w:val="00637D1E"/>
    <w:rsid w:val="006400AD"/>
    <w:rsid w:val="006402F5"/>
    <w:rsid w:val="00642029"/>
    <w:rsid w:val="006423BD"/>
    <w:rsid w:val="00642696"/>
    <w:rsid w:val="00642AE2"/>
    <w:rsid w:val="00644889"/>
    <w:rsid w:val="006448AA"/>
    <w:rsid w:val="00645FFD"/>
    <w:rsid w:val="00647443"/>
    <w:rsid w:val="00647EB3"/>
    <w:rsid w:val="0065123A"/>
    <w:rsid w:val="00651E82"/>
    <w:rsid w:val="006520A5"/>
    <w:rsid w:val="006526F6"/>
    <w:rsid w:val="0065379B"/>
    <w:rsid w:val="006537EB"/>
    <w:rsid w:val="00653B61"/>
    <w:rsid w:val="006550CA"/>
    <w:rsid w:val="00655B27"/>
    <w:rsid w:val="0065674F"/>
    <w:rsid w:val="00657406"/>
    <w:rsid w:val="0065768E"/>
    <w:rsid w:val="00657FD9"/>
    <w:rsid w:val="0066033F"/>
    <w:rsid w:val="00660A77"/>
    <w:rsid w:val="0066215A"/>
    <w:rsid w:val="006639DC"/>
    <w:rsid w:val="00665338"/>
    <w:rsid w:val="006656FB"/>
    <w:rsid w:val="0066630A"/>
    <w:rsid w:val="00666CFC"/>
    <w:rsid w:val="00667019"/>
    <w:rsid w:val="0066768B"/>
    <w:rsid w:val="00670540"/>
    <w:rsid w:val="0067060E"/>
    <w:rsid w:val="006707A9"/>
    <w:rsid w:val="00670C44"/>
    <w:rsid w:val="00670C52"/>
    <w:rsid w:val="00673C84"/>
    <w:rsid w:val="00673D77"/>
    <w:rsid w:val="00673D83"/>
    <w:rsid w:val="00673F3A"/>
    <w:rsid w:val="0067459D"/>
    <w:rsid w:val="00674D17"/>
    <w:rsid w:val="00675235"/>
    <w:rsid w:val="00676E3E"/>
    <w:rsid w:val="00676E4A"/>
    <w:rsid w:val="00677CAC"/>
    <w:rsid w:val="00680881"/>
    <w:rsid w:val="006809EC"/>
    <w:rsid w:val="006815C3"/>
    <w:rsid w:val="00682257"/>
    <w:rsid w:val="006825E3"/>
    <w:rsid w:val="00682F18"/>
    <w:rsid w:val="00684496"/>
    <w:rsid w:val="0068493C"/>
    <w:rsid w:val="00686254"/>
    <w:rsid w:val="0068670A"/>
    <w:rsid w:val="00686C55"/>
    <w:rsid w:val="00687954"/>
    <w:rsid w:val="00690AC9"/>
    <w:rsid w:val="00691281"/>
    <w:rsid w:val="0069139E"/>
    <w:rsid w:val="006922AF"/>
    <w:rsid w:val="0069257C"/>
    <w:rsid w:val="0069299B"/>
    <w:rsid w:val="006939B2"/>
    <w:rsid w:val="00693EB2"/>
    <w:rsid w:val="00694199"/>
    <w:rsid w:val="00694A5D"/>
    <w:rsid w:val="00694FEC"/>
    <w:rsid w:val="00696774"/>
    <w:rsid w:val="00696C10"/>
    <w:rsid w:val="006A0276"/>
    <w:rsid w:val="006A0BA2"/>
    <w:rsid w:val="006A184C"/>
    <w:rsid w:val="006A2691"/>
    <w:rsid w:val="006A414C"/>
    <w:rsid w:val="006A502B"/>
    <w:rsid w:val="006A5F82"/>
    <w:rsid w:val="006A6253"/>
    <w:rsid w:val="006A6BDE"/>
    <w:rsid w:val="006A6E56"/>
    <w:rsid w:val="006A7873"/>
    <w:rsid w:val="006A7DD8"/>
    <w:rsid w:val="006B0B18"/>
    <w:rsid w:val="006B0F03"/>
    <w:rsid w:val="006B23A6"/>
    <w:rsid w:val="006B2E9F"/>
    <w:rsid w:val="006B41F5"/>
    <w:rsid w:val="006B4A70"/>
    <w:rsid w:val="006B576B"/>
    <w:rsid w:val="006B757F"/>
    <w:rsid w:val="006B769C"/>
    <w:rsid w:val="006C0380"/>
    <w:rsid w:val="006C0A34"/>
    <w:rsid w:val="006C2585"/>
    <w:rsid w:val="006C2E96"/>
    <w:rsid w:val="006C2F87"/>
    <w:rsid w:val="006C40D6"/>
    <w:rsid w:val="006C4B88"/>
    <w:rsid w:val="006C56A4"/>
    <w:rsid w:val="006C59B8"/>
    <w:rsid w:val="006C5FE5"/>
    <w:rsid w:val="006C6A75"/>
    <w:rsid w:val="006C6C9E"/>
    <w:rsid w:val="006D0916"/>
    <w:rsid w:val="006D0AC4"/>
    <w:rsid w:val="006D1D11"/>
    <w:rsid w:val="006D233B"/>
    <w:rsid w:val="006D382B"/>
    <w:rsid w:val="006D4DF6"/>
    <w:rsid w:val="006D5852"/>
    <w:rsid w:val="006D629A"/>
    <w:rsid w:val="006D6396"/>
    <w:rsid w:val="006D6CF0"/>
    <w:rsid w:val="006D79FE"/>
    <w:rsid w:val="006D7E9E"/>
    <w:rsid w:val="006E118F"/>
    <w:rsid w:val="006E1A00"/>
    <w:rsid w:val="006E3A92"/>
    <w:rsid w:val="006E3AA7"/>
    <w:rsid w:val="006E5598"/>
    <w:rsid w:val="006E5EE3"/>
    <w:rsid w:val="006E6239"/>
    <w:rsid w:val="006E6E14"/>
    <w:rsid w:val="006E6EA8"/>
    <w:rsid w:val="006E6F2B"/>
    <w:rsid w:val="006E7FE8"/>
    <w:rsid w:val="006F0242"/>
    <w:rsid w:val="006F034A"/>
    <w:rsid w:val="006F1D56"/>
    <w:rsid w:val="006F22F2"/>
    <w:rsid w:val="006F2923"/>
    <w:rsid w:val="006F2938"/>
    <w:rsid w:val="006F2BD0"/>
    <w:rsid w:val="006F2D33"/>
    <w:rsid w:val="006F3257"/>
    <w:rsid w:val="006F7392"/>
    <w:rsid w:val="006F7932"/>
    <w:rsid w:val="00700DCB"/>
    <w:rsid w:val="0070126D"/>
    <w:rsid w:val="007030E3"/>
    <w:rsid w:val="00703A9C"/>
    <w:rsid w:val="00704067"/>
    <w:rsid w:val="00704CA0"/>
    <w:rsid w:val="00704CBA"/>
    <w:rsid w:val="00704CDF"/>
    <w:rsid w:val="00705BD3"/>
    <w:rsid w:val="00705C6F"/>
    <w:rsid w:val="00706074"/>
    <w:rsid w:val="0070701E"/>
    <w:rsid w:val="007073E4"/>
    <w:rsid w:val="0070765C"/>
    <w:rsid w:val="00710F0A"/>
    <w:rsid w:val="00711C19"/>
    <w:rsid w:val="00711FB8"/>
    <w:rsid w:val="00712933"/>
    <w:rsid w:val="007137AD"/>
    <w:rsid w:val="0071410A"/>
    <w:rsid w:val="007155F4"/>
    <w:rsid w:val="00715A1F"/>
    <w:rsid w:val="007168E2"/>
    <w:rsid w:val="00716ACE"/>
    <w:rsid w:val="00716D3E"/>
    <w:rsid w:val="007176FF"/>
    <w:rsid w:val="0072045D"/>
    <w:rsid w:val="0072095F"/>
    <w:rsid w:val="00721D69"/>
    <w:rsid w:val="00721F52"/>
    <w:rsid w:val="0072244A"/>
    <w:rsid w:val="00722876"/>
    <w:rsid w:val="0072295B"/>
    <w:rsid w:val="00722EC4"/>
    <w:rsid w:val="007245E4"/>
    <w:rsid w:val="00724874"/>
    <w:rsid w:val="00727A11"/>
    <w:rsid w:val="0073085F"/>
    <w:rsid w:val="007311A7"/>
    <w:rsid w:val="00731642"/>
    <w:rsid w:val="00731B17"/>
    <w:rsid w:val="00732B4A"/>
    <w:rsid w:val="00734C99"/>
    <w:rsid w:val="0073554F"/>
    <w:rsid w:val="00735D3F"/>
    <w:rsid w:val="00736E09"/>
    <w:rsid w:val="00740173"/>
    <w:rsid w:val="00744783"/>
    <w:rsid w:val="00744B02"/>
    <w:rsid w:val="007456B6"/>
    <w:rsid w:val="0074594B"/>
    <w:rsid w:val="00745DD5"/>
    <w:rsid w:val="00746DD8"/>
    <w:rsid w:val="00747AE7"/>
    <w:rsid w:val="007505B1"/>
    <w:rsid w:val="00750A94"/>
    <w:rsid w:val="00752B20"/>
    <w:rsid w:val="0075325B"/>
    <w:rsid w:val="00753341"/>
    <w:rsid w:val="00753826"/>
    <w:rsid w:val="00753CB6"/>
    <w:rsid w:val="0075439F"/>
    <w:rsid w:val="00754651"/>
    <w:rsid w:val="0075560C"/>
    <w:rsid w:val="00755DB2"/>
    <w:rsid w:val="007560AF"/>
    <w:rsid w:val="0075759C"/>
    <w:rsid w:val="00760382"/>
    <w:rsid w:val="00762135"/>
    <w:rsid w:val="00762B50"/>
    <w:rsid w:val="007653DF"/>
    <w:rsid w:val="0076554E"/>
    <w:rsid w:val="00765ECA"/>
    <w:rsid w:val="007667B6"/>
    <w:rsid w:val="00766D44"/>
    <w:rsid w:val="00770392"/>
    <w:rsid w:val="00770BBC"/>
    <w:rsid w:val="0077156A"/>
    <w:rsid w:val="007725E4"/>
    <w:rsid w:val="0077263F"/>
    <w:rsid w:val="007756DC"/>
    <w:rsid w:val="00775D44"/>
    <w:rsid w:val="00776028"/>
    <w:rsid w:val="0077620D"/>
    <w:rsid w:val="007763E7"/>
    <w:rsid w:val="00776413"/>
    <w:rsid w:val="00777D05"/>
    <w:rsid w:val="00777D79"/>
    <w:rsid w:val="00780654"/>
    <w:rsid w:val="00780BDD"/>
    <w:rsid w:val="00781089"/>
    <w:rsid w:val="00781697"/>
    <w:rsid w:val="00781D35"/>
    <w:rsid w:val="0078215B"/>
    <w:rsid w:val="00783D59"/>
    <w:rsid w:val="007847E8"/>
    <w:rsid w:val="00784870"/>
    <w:rsid w:val="00784FBB"/>
    <w:rsid w:val="0078510E"/>
    <w:rsid w:val="00786036"/>
    <w:rsid w:val="00786D67"/>
    <w:rsid w:val="00787403"/>
    <w:rsid w:val="00787411"/>
    <w:rsid w:val="00787927"/>
    <w:rsid w:val="00787A3F"/>
    <w:rsid w:val="00790463"/>
    <w:rsid w:val="00793986"/>
    <w:rsid w:val="00793BDA"/>
    <w:rsid w:val="007944C1"/>
    <w:rsid w:val="00796AB4"/>
    <w:rsid w:val="007972A7"/>
    <w:rsid w:val="00797772"/>
    <w:rsid w:val="007979FF"/>
    <w:rsid w:val="007A037D"/>
    <w:rsid w:val="007A04B3"/>
    <w:rsid w:val="007A06A2"/>
    <w:rsid w:val="007A1DE6"/>
    <w:rsid w:val="007A1F99"/>
    <w:rsid w:val="007A29F2"/>
    <w:rsid w:val="007A3FBB"/>
    <w:rsid w:val="007A4688"/>
    <w:rsid w:val="007A4BE5"/>
    <w:rsid w:val="007A5269"/>
    <w:rsid w:val="007A62B7"/>
    <w:rsid w:val="007A771E"/>
    <w:rsid w:val="007B00FA"/>
    <w:rsid w:val="007B03C0"/>
    <w:rsid w:val="007B03DE"/>
    <w:rsid w:val="007B07BC"/>
    <w:rsid w:val="007B0E2F"/>
    <w:rsid w:val="007B2491"/>
    <w:rsid w:val="007B2D4F"/>
    <w:rsid w:val="007B3776"/>
    <w:rsid w:val="007B3AF3"/>
    <w:rsid w:val="007B3CFE"/>
    <w:rsid w:val="007B5C79"/>
    <w:rsid w:val="007B5D31"/>
    <w:rsid w:val="007B6160"/>
    <w:rsid w:val="007C17A2"/>
    <w:rsid w:val="007C5D55"/>
    <w:rsid w:val="007C6631"/>
    <w:rsid w:val="007C6DA0"/>
    <w:rsid w:val="007C6E6C"/>
    <w:rsid w:val="007C6FF0"/>
    <w:rsid w:val="007C7651"/>
    <w:rsid w:val="007C7891"/>
    <w:rsid w:val="007D005E"/>
    <w:rsid w:val="007D033C"/>
    <w:rsid w:val="007D08FA"/>
    <w:rsid w:val="007D2225"/>
    <w:rsid w:val="007D26AF"/>
    <w:rsid w:val="007D29FF"/>
    <w:rsid w:val="007D2DDE"/>
    <w:rsid w:val="007D5E25"/>
    <w:rsid w:val="007D5F6B"/>
    <w:rsid w:val="007D60C7"/>
    <w:rsid w:val="007E0ABA"/>
    <w:rsid w:val="007E100B"/>
    <w:rsid w:val="007E14A5"/>
    <w:rsid w:val="007E1865"/>
    <w:rsid w:val="007E298A"/>
    <w:rsid w:val="007E2BFE"/>
    <w:rsid w:val="007E3E23"/>
    <w:rsid w:val="007E4E94"/>
    <w:rsid w:val="007E5386"/>
    <w:rsid w:val="007E55CC"/>
    <w:rsid w:val="007E6144"/>
    <w:rsid w:val="007E6D15"/>
    <w:rsid w:val="007F0118"/>
    <w:rsid w:val="007F0C27"/>
    <w:rsid w:val="007F1477"/>
    <w:rsid w:val="007F1747"/>
    <w:rsid w:val="007F1DE8"/>
    <w:rsid w:val="007F2891"/>
    <w:rsid w:val="007F371F"/>
    <w:rsid w:val="007F4B3A"/>
    <w:rsid w:val="007F510C"/>
    <w:rsid w:val="007F52FE"/>
    <w:rsid w:val="007F5604"/>
    <w:rsid w:val="007F56B5"/>
    <w:rsid w:val="007F6B9C"/>
    <w:rsid w:val="007F7D0B"/>
    <w:rsid w:val="008000ED"/>
    <w:rsid w:val="00800D44"/>
    <w:rsid w:val="00801427"/>
    <w:rsid w:val="0080199D"/>
    <w:rsid w:val="0080238C"/>
    <w:rsid w:val="008029D2"/>
    <w:rsid w:val="00802E85"/>
    <w:rsid w:val="00803561"/>
    <w:rsid w:val="008039FA"/>
    <w:rsid w:val="00804367"/>
    <w:rsid w:val="008049F8"/>
    <w:rsid w:val="00804A7C"/>
    <w:rsid w:val="00804CA6"/>
    <w:rsid w:val="0080773E"/>
    <w:rsid w:val="008078E0"/>
    <w:rsid w:val="008110C6"/>
    <w:rsid w:val="008110F3"/>
    <w:rsid w:val="00811FCF"/>
    <w:rsid w:val="0081209E"/>
    <w:rsid w:val="0081343C"/>
    <w:rsid w:val="008152D6"/>
    <w:rsid w:val="008155B4"/>
    <w:rsid w:val="0081699E"/>
    <w:rsid w:val="008169D5"/>
    <w:rsid w:val="008173EB"/>
    <w:rsid w:val="0082054B"/>
    <w:rsid w:val="008209F9"/>
    <w:rsid w:val="008214A2"/>
    <w:rsid w:val="008228A6"/>
    <w:rsid w:val="008253C0"/>
    <w:rsid w:val="0082542A"/>
    <w:rsid w:val="00825840"/>
    <w:rsid w:val="008258AF"/>
    <w:rsid w:val="00825EB9"/>
    <w:rsid w:val="00826E56"/>
    <w:rsid w:val="00827629"/>
    <w:rsid w:val="008313ED"/>
    <w:rsid w:val="00831503"/>
    <w:rsid w:val="008317D2"/>
    <w:rsid w:val="00831DF0"/>
    <w:rsid w:val="0083289A"/>
    <w:rsid w:val="00832A45"/>
    <w:rsid w:val="00832D08"/>
    <w:rsid w:val="00833379"/>
    <w:rsid w:val="00833AB3"/>
    <w:rsid w:val="0083453B"/>
    <w:rsid w:val="008361DB"/>
    <w:rsid w:val="008371E8"/>
    <w:rsid w:val="008408DB"/>
    <w:rsid w:val="008426E7"/>
    <w:rsid w:val="00842BD3"/>
    <w:rsid w:val="00842E2C"/>
    <w:rsid w:val="0084309A"/>
    <w:rsid w:val="0084345E"/>
    <w:rsid w:val="008436CD"/>
    <w:rsid w:val="008454A2"/>
    <w:rsid w:val="00850753"/>
    <w:rsid w:val="0085312E"/>
    <w:rsid w:val="00853E3D"/>
    <w:rsid w:val="00853E6D"/>
    <w:rsid w:val="00855735"/>
    <w:rsid w:val="00855D40"/>
    <w:rsid w:val="0085627A"/>
    <w:rsid w:val="008577AE"/>
    <w:rsid w:val="00860EDE"/>
    <w:rsid w:val="0086190A"/>
    <w:rsid w:val="00862350"/>
    <w:rsid w:val="008628C5"/>
    <w:rsid w:val="00862B5B"/>
    <w:rsid w:val="0086393F"/>
    <w:rsid w:val="00864875"/>
    <w:rsid w:val="00864958"/>
    <w:rsid w:val="00865530"/>
    <w:rsid w:val="00867BBA"/>
    <w:rsid w:val="00871D0F"/>
    <w:rsid w:val="00872005"/>
    <w:rsid w:val="00872429"/>
    <w:rsid w:val="008730E6"/>
    <w:rsid w:val="0087316C"/>
    <w:rsid w:val="00873B6C"/>
    <w:rsid w:val="00874E9E"/>
    <w:rsid w:val="0087524E"/>
    <w:rsid w:val="00876E4F"/>
    <w:rsid w:val="00876F0B"/>
    <w:rsid w:val="00877F3B"/>
    <w:rsid w:val="00882608"/>
    <w:rsid w:val="00883A8C"/>
    <w:rsid w:val="008844B0"/>
    <w:rsid w:val="00885299"/>
    <w:rsid w:val="00885A78"/>
    <w:rsid w:val="00885B55"/>
    <w:rsid w:val="00887FD8"/>
    <w:rsid w:val="008900C1"/>
    <w:rsid w:val="00890CB5"/>
    <w:rsid w:val="008916ED"/>
    <w:rsid w:val="00893C79"/>
    <w:rsid w:val="008953C5"/>
    <w:rsid w:val="008959FA"/>
    <w:rsid w:val="0089688B"/>
    <w:rsid w:val="008969FF"/>
    <w:rsid w:val="008A101A"/>
    <w:rsid w:val="008A2732"/>
    <w:rsid w:val="008A31D7"/>
    <w:rsid w:val="008A3E22"/>
    <w:rsid w:val="008A4825"/>
    <w:rsid w:val="008A5EA5"/>
    <w:rsid w:val="008A6152"/>
    <w:rsid w:val="008A6BF9"/>
    <w:rsid w:val="008A7D06"/>
    <w:rsid w:val="008B1588"/>
    <w:rsid w:val="008B1BDA"/>
    <w:rsid w:val="008B2293"/>
    <w:rsid w:val="008B30D9"/>
    <w:rsid w:val="008B31D4"/>
    <w:rsid w:val="008B57CF"/>
    <w:rsid w:val="008B5F39"/>
    <w:rsid w:val="008B60EA"/>
    <w:rsid w:val="008B7384"/>
    <w:rsid w:val="008C0050"/>
    <w:rsid w:val="008C032C"/>
    <w:rsid w:val="008C0DC2"/>
    <w:rsid w:val="008C19E8"/>
    <w:rsid w:val="008C2252"/>
    <w:rsid w:val="008C2D75"/>
    <w:rsid w:val="008C43D7"/>
    <w:rsid w:val="008C4B45"/>
    <w:rsid w:val="008C4D23"/>
    <w:rsid w:val="008C5DA8"/>
    <w:rsid w:val="008C6B3A"/>
    <w:rsid w:val="008C6C60"/>
    <w:rsid w:val="008C791C"/>
    <w:rsid w:val="008D0036"/>
    <w:rsid w:val="008D03D9"/>
    <w:rsid w:val="008D0EB4"/>
    <w:rsid w:val="008D195E"/>
    <w:rsid w:val="008D4C53"/>
    <w:rsid w:val="008D4D5A"/>
    <w:rsid w:val="008D55FE"/>
    <w:rsid w:val="008D5AAC"/>
    <w:rsid w:val="008D70F6"/>
    <w:rsid w:val="008D7B62"/>
    <w:rsid w:val="008E02B7"/>
    <w:rsid w:val="008E078D"/>
    <w:rsid w:val="008E18A3"/>
    <w:rsid w:val="008E1A1E"/>
    <w:rsid w:val="008E1D79"/>
    <w:rsid w:val="008E1DD2"/>
    <w:rsid w:val="008E24A8"/>
    <w:rsid w:val="008E26F5"/>
    <w:rsid w:val="008E36D8"/>
    <w:rsid w:val="008E3C63"/>
    <w:rsid w:val="008E3F1C"/>
    <w:rsid w:val="008E4190"/>
    <w:rsid w:val="008E6A71"/>
    <w:rsid w:val="008E79E4"/>
    <w:rsid w:val="008F1964"/>
    <w:rsid w:val="008F27CA"/>
    <w:rsid w:val="008F2C86"/>
    <w:rsid w:val="008F32FE"/>
    <w:rsid w:val="008F3B8F"/>
    <w:rsid w:val="008F3B94"/>
    <w:rsid w:val="008F4999"/>
    <w:rsid w:val="008F6A03"/>
    <w:rsid w:val="008F71B1"/>
    <w:rsid w:val="008F7957"/>
    <w:rsid w:val="008F7E1E"/>
    <w:rsid w:val="0090259E"/>
    <w:rsid w:val="00904722"/>
    <w:rsid w:val="009048B5"/>
    <w:rsid w:val="0090623D"/>
    <w:rsid w:val="009063E8"/>
    <w:rsid w:val="00906F54"/>
    <w:rsid w:val="00907183"/>
    <w:rsid w:val="00910174"/>
    <w:rsid w:val="00910919"/>
    <w:rsid w:val="00910CB9"/>
    <w:rsid w:val="00910EAB"/>
    <w:rsid w:val="00910FE7"/>
    <w:rsid w:val="00911515"/>
    <w:rsid w:val="00911D93"/>
    <w:rsid w:val="009125CE"/>
    <w:rsid w:val="00912FDA"/>
    <w:rsid w:val="00913011"/>
    <w:rsid w:val="00913D8E"/>
    <w:rsid w:val="00914DDE"/>
    <w:rsid w:val="0091514D"/>
    <w:rsid w:val="00915B2C"/>
    <w:rsid w:val="00916345"/>
    <w:rsid w:val="009172B2"/>
    <w:rsid w:val="009173B0"/>
    <w:rsid w:val="00917563"/>
    <w:rsid w:val="00920370"/>
    <w:rsid w:val="0092370A"/>
    <w:rsid w:val="00923A59"/>
    <w:rsid w:val="00923D90"/>
    <w:rsid w:val="0092428C"/>
    <w:rsid w:val="009253C3"/>
    <w:rsid w:val="00925A24"/>
    <w:rsid w:val="00925ABC"/>
    <w:rsid w:val="0092650C"/>
    <w:rsid w:val="00926F38"/>
    <w:rsid w:val="00927CD3"/>
    <w:rsid w:val="00927DFC"/>
    <w:rsid w:val="00930520"/>
    <w:rsid w:val="0093191C"/>
    <w:rsid w:val="009326A3"/>
    <w:rsid w:val="00933338"/>
    <w:rsid w:val="009335BF"/>
    <w:rsid w:val="00933815"/>
    <w:rsid w:val="00933DCC"/>
    <w:rsid w:val="009342A1"/>
    <w:rsid w:val="00934D02"/>
    <w:rsid w:val="00935940"/>
    <w:rsid w:val="00937153"/>
    <w:rsid w:val="00937B14"/>
    <w:rsid w:val="0094167B"/>
    <w:rsid w:val="0094167C"/>
    <w:rsid w:val="00942574"/>
    <w:rsid w:val="00943374"/>
    <w:rsid w:val="00944DE3"/>
    <w:rsid w:val="00946017"/>
    <w:rsid w:val="00946576"/>
    <w:rsid w:val="00947123"/>
    <w:rsid w:val="0094756C"/>
    <w:rsid w:val="009475F7"/>
    <w:rsid w:val="0094791D"/>
    <w:rsid w:val="00950D7B"/>
    <w:rsid w:val="00953790"/>
    <w:rsid w:val="00956AE7"/>
    <w:rsid w:val="00961956"/>
    <w:rsid w:val="00964392"/>
    <w:rsid w:val="0096441C"/>
    <w:rsid w:val="00964E38"/>
    <w:rsid w:val="0096690D"/>
    <w:rsid w:val="009677DA"/>
    <w:rsid w:val="00967E0C"/>
    <w:rsid w:val="009700B4"/>
    <w:rsid w:val="009701E0"/>
    <w:rsid w:val="00970340"/>
    <w:rsid w:val="0097054A"/>
    <w:rsid w:val="00970AA1"/>
    <w:rsid w:val="00970C38"/>
    <w:rsid w:val="00971F11"/>
    <w:rsid w:val="00972A17"/>
    <w:rsid w:val="0097372D"/>
    <w:rsid w:val="009765B8"/>
    <w:rsid w:val="00976F1A"/>
    <w:rsid w:val="00977E71"/>
    <w:rsid w:val="00980285"/>
    <w:rsid w:val="0098261C"/>
    <w:rsid w:val="00982B45"/>
    <w:rsid w:val="00982D7D"/>
    <w:rsid w:val="009831F0"/>
    <w:rsid w:val="0098350C"/>
    <w:rsid w:val="00983888"/>
    <w:rsid w:val="009856A9"/>
    <w:rsid w:val="0098769D"/>
    <w:rsid w:val="00987C39"/>
    <w:rsid w:val="00987D6D"/>
    <w:rsid w:val="00987DDB"/>
    <w:rsid w:val="00987E5C"/>
    <w:rsid w:val="0099026F"/>
    <w:rsid w:val="00991297"/>
    <w:rsid w:val="009914A9"/>
    <w:rsid w:val="00991712"/>
    <w:rsid w:val="00991B6D"/>
    <w:rsid w:val="009920CD"/>
    <w:rsid w:val="0099255F"/>
    <w:rsid w:val="00992D88"/>
    <w:rsid w:val="0099337B"/>
    <w:rsid w:val="009941B7"/>
    <w:rsid w:val="00996C61"/>
    <w:rsid w:val="009A0B23"/>
    <w:rsid w:val="009A1654"/>
    <w:rsid w:val="009A1847"/>
    <w:rsid w:val="009A2992"/>
    <w:rsid w:val="009A49DD"/>
    <w:rsid w:val="009A59D8"/>
    <w:rsid w:val="009A625B"/>
    <w:rsid w:val="009A7EF3"/>
    <w:rsid w:val="009B0F7D"/>
    <w:rsid w:val="009B1957"/>
    <w:rsid w:val="009B1E4B"/>
    <w:rsid w:val="009B2020"/>
    <w:rsid w:val="009B554F"/>
    <w:rsid w:val="009B58CB"/>
    <w:rsid w:val="009B598E"/>
    <w:rsid w:val="009B6442"/>
    <w:rsid w:val="009B6FCE"/>
    <w:rsid w:val="009C130B"/>
    <w:rsid w:val="009C138B"/>
    <w:rsid w:val="009C1F19"/>
    <w:rsid w:val="009C312A"/>
    <w:rsid w:val="009C3AF5"/>
    <w:rsid w:val="009C5494"/>
    <w:rsid w:val="009C57AE"/>
    <w:rsid w:val="009C57B0"/>
    <w:rsid w:val="009C6866"/>
    <w:rsid w:val="009C68B6"/>
    <w:rsid w:val="009D2496"/>
    <w:rsid w:val="009D29EE"/>
    <w:rsid w:val="009D4B9E"/>
    <w:rsid w:val="009D504E"/>
    <w:rsid w:val="009D5ECD"/>
    <w:rsid w:val="009D6860"/>
    <w:rsid w:val="009D7353"/>
    <w:rsid w:val="009E21D6"/>
    <w:rsid w:val="009E2774"/>
    <w:rsid w:val="009E2978"/>
    <w:rsid w:val="009E38AA"/>
    <w:rsid w:val="009E3E81"/>
    <w:rsid w:val="009E3EEB"/>
    <w:rsid w:val="009E438D"/>
    <w:rsid w:val="009E49E5"/>
    <w:rsid w:val="009E64D7"/>
    <w:rsid w:val="009F0860"/>
    <w:rsid w:val="009F458D"/>
    <w:rsid w:val="009F469A"/>
    <w:rsid w:val="009F5995"/>
    <w:rsid w:val="009F640B"/>
    <w:rsid w:val="00A01A03"/>
    <w:rsid w:val="00A01A2D"/>
    <w:rsid w:val="00A01D6E"/>
    <w:rsid w:val="00A033BF"/>
    <w:rsid w:val="00A03530"/>
    <w:rsid w:val="00A0428C"/>
    <w:rsid w:val="00A048EE"/>
    <w:rsid w:val="00A0510D"/>
    <w:rsid w:val="00A052D2"/>
    <w:rsid w:val="00A05424"/>
    <w:rsid w:val="00A059CB"/>
    <w:rsid w:val="00A05C62"/>
    <w:rsid w:val="00A11277"/>
    <w:rsid w:val="00A12E49"/>
    <w:rsid w:val="00A16847"/>
    <w:rsid w:val="00A1758E"/>
    <w:rsid w:val="00A17CC4"/>
    <w:rsid w:val="00A207A0"/>
    <w:rsid w:val="00A20EDA"/>
    <w:rsid w:val="00A218EE"/>
    <w:rsid w:val="00A21CFF"/>
    <w:rsid w:val="00A22B10"/>
    <w:rsid w:val="00A23331"/>
    <w:rsid w:val="00A23F80"/>
    <w:rsid w:val="00A2405D"/>
    <w:rsid w:val="00A243F8"/>
    <w:rsid w:val="00A24A52"/>
    <w:rsid w:val="00A24F05"/>
    <w:rsid w:val="00A25339"/>
    <w:rsid w:val="00A25874"/>
    <w:rsid w:val="00A26FF7"/>
    <w:rsid w:val="00A27140"/>
    <w:rsid w:val="00A3010A"/>
    <w:rsid w:val="00A3071F"/>
    <w:rsid w:val="00A31839"/>
    <w:rsid w:val="00A3288B"/>
    <w:rsid w:val="00A33548"/>
    <w:rsid w:val="00A34D22"/>
    <w:rsid w:val="00A350C7"/>
    <w:rsid w:val="00A36081"/>
    <w:rsid w:val="00A36475"/>
    <w:rsid w:val="00A369CA"/>
    <w:rsid w:val="00A372CC"/>
    <w:rsid w:val="00A4040C"/>
    <w:rsid w:val="00A40689"/>
    <w:rsid w:val="00A41635"/>
    <w:rsid w:val="00A425F8"/>
    <w:rsid w:val="00A429D1"/>
    <w:rsid w:val="00A43DD0"/>
    <w:rsid w:val="00A4533E"/>
    <w:rsid w:val="00A467DA"/>
    <w:rsid w:val="00A47386"/>
    <w:rsid w:val="00A474EF"/>
    <w:rsid w:val="00A476F6"/>
    <w:rsid w:val="00A47740"/>
    <w:rsid w:val="00A50C05"/>
    <w:rsid w:val="00A50DB9"/>
    <w:rsid w:val="00A51A11"/>
    <w:rsid w:val="00A52A9D"/>
    <w:rsid w:val="00A52F79"/>
    <w:rsid w:val="00A530A4"/>
    <w:rsid w:val="00A53B7F"/>
    <w:rsid w:val="00A53FF1"/>
    <w:rsid w:val="00A54C81"/>
    <w:rsid w:val="00A54D9D"/>
    <w:rsid w:val="00A56A84"/>
    <w:rsid w:val="00A57F5B"/>
    <w:rsid w:val="00A61098"/>
    <w:rsid w:val="00A62B32"/>
    <w:rsid w:val="00A63595"/>
    <w:rsid w:val="00A638D6"/>
    <w:rsid w:val="00A63E12"/>
    <w:rsid w:val="00A64165"/>
    <w:rsid w:val="00A66809"/>
    <w:rsid w:val="00A67A1D"/>
    <w:rsid w:val="00A70389"/>
    <w:rsid w:val="00A704FC"/>
    <w:rsid w:val="00A70542"/>
    <w:rsid w:val="00A70557"/>
    <w:rsid w:val="00A706E6"/>
    <w:rsid w:val="00A7094B"/>
    <w:rsid w:val="00A71328"/>
    <w:rsid w:val="00A7142B"/>
    <w:rsid w:val="00A71873"/>
    <w:rsid w:val="00A722D7"/>
    <w:rsid w:val="00A724FD"/>
    <w:rsid w:val="00A72D04"/>
    <w:rsid w:val="00A7450C"/>
    <w:rsid w:val="00A769A3"/>
    <w:rsid w:val="00A77D94"/>
    <w:rsid w:val="00A80B54"/>
    <w:rsid w:val="00A812A1"/>
    <w:rsid w:val="00A8216A"/>
    <w:rsid w:val="00A84514"/>
    <w:rsid w:val="00A85422"/>
    <w:rsid w:val="00A855CC"/>
    <w:rsid w:val="00A85766"/>
    <w:rsid w:val="00A873C6"/>
    <w:rsid w:val="00A9000B"/>
    <w:rsid w:val="00A93516"/>
    <w:rsid w:val="00A93DE9"/>
    <w:rsid w:val="00A94A18"/>
    <w:rsid w:val="00A94E53"/>
    <w:rsid w:val="00A96C4E"/>
    <w:rsid w:val="00A979AF"/>
    <w:rsid w:val="00A97A36"/>
    <w:rsid w:val="00AA21C8"/>
    <w:rsid w:val="00AA3180"/>
    <w:rsid w:val="00AA3B13"/>
    <w:rsid w:val="00AA3DCD"/>
    <w:rsid w:val="00AA43E7"/>
    <w:rsid w:val="00AA69E2"/>
    <w:rsid w:val="00AA739E"/>
    <w:rsid w:val="00AA751A"/>
    <w:rsid w:val="00AA7808"/>
    <w:rsid w:val="00AB02AF"/>
    <w:rsid w:val="00AB050A"/>
    <w:rsid w:val="00AB07DF"/>
    <w:rsid w:val="00AB0A5F"/>
    <w:rsid w:val="00AB0EFA"/>
    <w:rsid w:val="00AB12B7"/>
    <w:rsid w:val="00AB1427"/>
    <w:rsid w:val="00AB2F04"/>
    <w:rsid w:val="00AB3B94"/>
    <w:rsid w:val="00AB3DD7"/>
    <w:rsid w:val="00AB42FB"/>
    <w:rsid w:val="00AB482B"/>
    <w:rsid w:val="00AB509F"/>
    <w:rsid w:val="00AB5602"/>
    <w:rsid w:val="00AB58E9"/>
    <w:rsid w:val="00AB75B2"/>
    <w:rsid w:val="00AC0084"/>
    <w:rsid w:val="00AC0133"/>
    <w:rsid w:val="00AC0DC0"/>
    <w:rsid w:val="00AC1F65"/>
    <w:rsid w:val="00AC242B"/>
    <w:rsid w:val="00AC300B"/>
    <w:rsid w:val="00AC50ED"/>
    <w:rsid w:val="00AC5171"/>
    <w:rsid w:val="00AC5367"/>
    <w:rsid w:val="00AC55A7"/>
    <w:rsid w:val="00AC6969"/>
    <w:rsid w:val="00AC6E5F"/>
    <w:rsid w:val="00AC715D"/>
    <w:rsid w:val="00AC7460"/>
    <w:rsid w:val="00AC7780"/>
    <w:rsid w:val="00AD0367"/>
    <w:rsid w:val="00AD0D89"/>
    <w:rsid w:val="00AD1739"/>
    <w:rsid w:val="00AD2340"/>
    <w:rsid w:val="00AD2657"/>
    <w:rsid w:val="00AD37BC"/>
    <w:rsid w:val="00AD4C07"/>
    <w:rsid w:val="00AD5CC7"/>
    <w:rsid w:val="00AD5FD0"/>
    <w:rsid w:val="00AD72B4"/>
    <w:rsid w:val="00AE096C"/>
    <w:rsid w:val="00AE1FA0"/>
    <w:rsid w:val="00AE222C"/>
    <w:rsid w:val="00AE2318"/>
    <w:rsid w:val="00AE2437"/>
    <w:rsid w:val="00AE2738"/>
    <w:rsid w:val="00AE299B"/>
    <w:rsid w:val="00AE2F7A"/>
    <w:rsid w:val="00AE3765"/>
    <w:rsid w:val="00AE3D5E"/>
    <w:rsid w:val="00AE4040"/>
    <w:rsid w:val="00AE58D7"/>
    <w:rsid w:val="00AE6D18"/>
    <w:rsid w:val="00AE78E2"/>
    <w:rsid w:val="00AE7E68"/>
    <w:rsid w:val="00AF117F"/>
    <w:rsid w:val="00AF18CB"/>
    <w:rsid w:val="00AF3090"/>
    <w:rsid w:val="00AF3514"/>
    <w:rsid w:val="00AF3B79"/>
    <w:rsid w:val="00AF512C"/>
    <w:rsid w:val="00AF5200"/>
    <w:rsid w:val="00AF79CB"/>
    <w:rsid w:val="00B00A16"/>
    <w:rsid w:val="00B030B5"/>
    <w:rsid w:val="00B04EBB"/>
    <w:rsid w:val="00B053F4"/>
    <w:rsid w:val="00B066BE"/>
    <w:rsid w:val="00B07944"/>
    <w:rsid w:val="00B1014A"/>
    <w:rsid w:val="00B1280B"/>
    <w:rsid w:val="00B1346E"/>
    <w:rsid w:val="00B14497"/>
    <w:rsid w:val="00B14668"/>
    <w:rsid w:val="00B14FFD"/>
    <w:rsid w:val="00B151D7"/>
    <w:rsid w:val="00B159A9"/>
    <w:rsid w:val="00B15F92"/>
    <w:rsid w:val="00B166C9"/>
    <w:rsid w:val="00B1688A"/>
    <w:rsid w:val="00B20D6D"/>
    <w:rsid w:val="00B220B0"/>
    <w:rsid w:val="00B23E79"/>
    <w:rsid w:val="00B24070"/>
    <w:rsid w:val="00B2468C"/>
    <w:rsid w:val="00B24C49"/>
    <w:rsid w:val="00B26A4E"/>
    <w:rsid w:val="00B3098D"/>
    <w:rsid w:val="00B3101E"/>
    <w:rsid w:val="00B31106"/>
    <w:rsid w:val="00B316B7"/>
    <w:rsid w:val="00B32577"/>
    <w:rsid w:val="00B328C4"/>
    <w:rsid w:val="00B32DAE"/>
    <w:rsid w:val="00B32E07"/>
    <w:rsid w:val="00B34CFD"/>
    <w:rsid w:val="00B35480"/>
    <w:rsid w:val="00B35F9C"/>
    <w:rsid w:val="00B360B4"/>
    <w:rsid w:val="00B37135"/>
    <w:rsid w:val="00B372AA"/>
    <w:rsid w:val="00B40018"/>
    <w:rsid w:val="00B400E0"/>
    <w:rsid w:val="00B41780"/>
    <w:rsid w:val="00B41D4E"/>
    <w:rsid w:val="00B41F02"/>
    <w:rsid w:val="00B42A74"/>
    <w:rsid w:val="00B43E39"/>
    <w:rsid w:val="00B45150"/>
    <w:rsid w:val="00B46110"/>
    <w:rsid w:val="00B46D4E"/>
    <w:rsid w:val="00B46E74"/>
    <w:rsid w:val="00B47959"/>
    <w:rsid w:val="00B503B1"/>
    <w:rsid w:val="00B50E47"/>
    <w:rsid w:val="00B51B12"/>
    <w:rsid w:val="00B51BB8"/>
    <w:rsid w:val="00B530E4"/>
    <w:rsid w:val="00B5415C"/>
    <w:rsid w:val="00B5499E"/>
    <w:rsid w:val="00B54E68"/>
    <w:rsid w:val="00B55119"/>
    <w:rsid w:val="00B57E69"/>
    <w:rsid w:val="00B6145A"/>
    <w:rsid w:val="00B61687"/>
    <w:rsid w:val="00B6274E"/>
    <w:rsid w:val="00B63293"/>
    <w:rsid w:val="00B63966"/>
    <w:rsid w:val="00B63AE2"/>
    <w:rsid w:val="00B64176"/>
    <w:rsid w:val="00B65C16"/>
    <w:rsid w:val="00B65EF1"/>
    <w:rsid w:val="00B66438"/>
    <w:rsid w:val="00B67DC8"/>
    <w:rsid w:val="00B67E2B"/>
    <w:rsid w:val="00B7083A"/>
    <w:rsid w:val="00B70B07"/>
    <w:rsid w:val="00B70FD8"/>
    <w:rsid w:val="00B712BC"/>
    <w:rsid w:val="00B72ED4"/>
    <w:rsid w:val="00B74CF1"/>
    <w:rsid w:val="00B75075"/>
    <w:rsid w:val="00B7597C"/>
    <w:rsid w:val="00B75E1C"/>
    <w:rsid w:val="00B77CA6"/>
    <w:rsid w:val="00B80031"/>
    <w:rsid w:val="00B800E4"/>
    <w:rsid w:val="00B80398"/>
    <w:rsid w:val="00B8161A"/>
    <w:rsid w:val="00B821AF"/>
    <w:rsid w:val="00B8290C"/>
    <w:rsid w:val="00B82A68"/>
    <w:rsid w:val="00B82B5A"/>
    <w:rsid w:val="00B82E75"/>
    <w:rsid w:val="00B8306E"/>
    <w:rsid w:val="00B83145"/>
    <w:rsid w:val="00B83E19"/>
    <w:rsid w:val="00B83EEF"/>
    <w:rsid w:val="00B841CD"/>
    <w:rsid w:val="00B84AC5"/>
    <w:rsid w:val="00B86618"/>
    <w:rsid w:val="00B867B3"/>
    <w:rsid w:val="00B8687E"/>
    <w:rsid w:val="00B9117B"/>
    <w:rsid w:val="00B91CB1"/>
    <w:rsid w:val="00B91EC0"/>
    <w:rsid w:val="00B949E1"/>
    <w:rsid w:val="00B94D63"/>
    <w:rsid w:val="00B95356"/>
    <w:rsid w:val="00B95CAB"/>
    <w:rsid w:val="00B97BEE"/>
    <w:rsid w:val="00BA12D1"/>
    <w:rsid w:val="00BA1583"/>
    <w:rsid w:val="00BA2BAA"/>
    <w:rsid w:val="00BA3483"/>
    <w:rsid w:val="00BA438C"/>
    <w:rsid w:val="00BA4814"/>
    <w:rsid w:val="00BA4C55"/>
    <w:rsid w:val="00BA71E1"/>
    <w:rsid w:val="00BB0D53"/>
    <w:rsid w:val="00BB15B7"/>
    <w:rsid w:val="00BB184C"/>
    <w:rsid w:val="00BB26CB"/>
    <w:rsid w:val="00BB2BDE"/>
    <w:rsid w:val="00BB4CF2"/>
    <w:rsid w:val="00BB4EB6"/>
    <w:rsid w:val="00BB57A6"/>
    <w:rsid w:val="00BB5A5E"/>
    <w:rsid w:val="00BB5DBC"/>
    <w:rsid w:val="00BB65F8"/>
    <w:rsid w:val="00BB6A96"/>
    <w:rsid w:val="00BB6E17"/>
    <w:rsid w:val="00BB78D5"/>
    <w:rsid w:val="00BB79BE"/>
    <w:rsid w:val="00BC15D1"/>
    <w:rsid w:val="00BC17E3"/>
    <w:rsid w:val="00BC1FAE"/>
    <w:rsid w:val="00BC209D"/>
    <w:rsid w:val="00BC2DC7"/>
    <w:rsid w:val="00BC2F51"/>
    <w:rsid w:val="00BC36D2"/>
    <w:rsid w:val="00BC3E4E"/>
    <w:rsid w:val="00BC4E48"/>
    <w:rsid w:val="00BC4FA0"/>
    <w:rsid w:val="00BC54F2"/>
    <w:rsid w:val="00BC5FBD"/>
    <w:rsid w:val="00BC7892"/>
    <w:rsid w:val="00BD03A7"/>
    <w:rsid w:val="00BD0851"/>
    <w:rsid w:val="00BD3BA2"/>
    <w:rsid w:val="00BD5B32"/>
    <w:rsid w:val="00BD6DCC"/>
    <w:rsid w:val="00BD7510"/>
    <w:rsid w:val="00BD7D4E"/>
    <w:rsid w:val="00BD7EEB"/>
    <w:rsid w:val="00BE02C1"/>
    <w:rsid w:val="00BE0398"/>
    <w:rsid w:val="00BE14D6"/>
    <w:rsid w:val="00BE19C6"/>
    <w:rsid w:val="00BE247D"/>
    <w:rsid w:val="00BE30CB"/>
    <w:rsid w:val="00BE375C"/>
    <w:rsid w:val="00BE3BCD"/>
    <w:rsid w:val="00BE4A93"/>
    <w:rsid w:val="00BE4F4B"/>
    <w:rsid w:val="00BE5800"/>
    <w:rsid w:val="00BE5B18"/>
    <w:rsid w:val="00BE7D11"/>
    <w:rsid w:val="00BF1A62"/>
    <w:rsid w:val="00BF1C31"/>
    <w:rsid w:val="00BF34E7"/>
    <w:rsid w:val="00BF4BA4"/>
    <w:rsid w:val="00BF5279"/>
    <w:rsid w:val="00BF6508"/>
    <w:rsid w:val="00BF6581"/>
    <w:rsid w:val="00BF67D8"/>
    <w:rsid w:val="00C00DF8"/>
    <w:rsid w:val="00C00E39"/>
    <w:rsid w:val="00C01450"/>
    <w:rsid w:val="00C018EF"/>
    <w:rsid w:val="00C01AB8"/>
    <w:rsid w:val="00C03D85"/>
    <w:rsid w:val="00C04C09"/>
    <w:rsid w:val="00C058DD"/>
    <w:rsid w:val="00C05BD1"/>
    <w:rsid w:val="00C06587"/>
    <w:rsid w:val="00C06824"/>
    <w:rsid w:val="00C06ABF"/>
    <w:rsid w:val="00C06C98"/>
    <w:rsid w:val="00C10930"/>
    <w:rsid w:val="00C11112"/>
    <w:rsid w:val="00C11A88"/>
    <w:rsid w:val="00C12032"/>
    <w:rsid w:val="00C12348"/>
    <w:rsid w:val="00C12403"/>
    <w:rsid w:val="00C14471"/>
    <w:rsid w:val="00C14D24"/>
    <w:rsid w:val="00C14F9C"/>
    <w:rsid w:val="00C15915"/>
    <w:rsid w:val="00C15931"/>
    <w:rsid w:val="00C15B2A"/>
    <w:rsid w:val="00C16313"/>
    <w:rsid w:val="00C163A1"/>
    <w:rsid w:val="00C17732"/>
    <w:rsid w:val="00C17F7B"/>
    <w:rsid w:val="00C204B4"/>
    <w:rsid w:val="00C210AD"/>
    <w:rsid w:val="00C2159F"/>
    <w:rsid w:val="00C2340A"/>
    <w:rsid w:val="00C246AA"/>
    <w:rsid w:val="00C24CB7"/>
    <w:rsid w:val="00C254B8"/>
    <w:rsid w:val="00C256B9"/>
    <w:rsid w:val="00C25A9F"/>
    <w:rsid w:val="00C2713E"/>
    <w:rsid w:val="00C31F5E"/>
    <w:rsid w:val="00C3357B"/>
    <w:rsid w:val="00C33DAE"/>
    <w:rsid w:val="00C34002"/>
    <w:rsid w:val="00C34413"/>
    <w:rsid w:val="00C349C0"/>
    <w:rsid w:val="00C34C6D"/>
    <w:rsid w:val="00C351B0"/>
    <w:rsid w:val="00C35E72"/>
    <w:rsid w:val="00C36E15"/>
    <w:rsid w:val="00C37279"/>
    <w:rsid w:val="00C37700"/>
    <w:rsid w:val="00C37E91"/>
    <w:rsid w:val="00C37EBA"/>
    <w:rsid w:val="00C37F9C"/>
    <w:rsid w:val="00C4068B"/>
    <w:rsid w:val="00C406E2"/>
    <w:rsid w:val="00C408C3"/>
    <w:rsid w:val="00C41379"/>
    <w:rsid w:val="00C42080"/>
    <w:rsid w:val="00C426BC"/>
    <w:rsid w:val="00C436FE"/>
    <w:rsid w:val="00C44438"/>
    <w:rsid w:val="00C449C8"/>
    <w:rsid w:val="00C44D7C"/>
    <w:rsid w:val="00C45336"/>
    <w:rsid w:val="00C46281"/>
    <w:rsid w:val="00C4766C"/>
    <w:rsid w:val="00C5038E"/>
    <w:rsid w:val="00C505EF"/>
    <w:rsid w:val="00C50B6C"/>
    <w:rsid w:val="00C50DAB"/>
    <w:rsid w:val="00C50DFF"/>
    <w:rsid w:val="00C51CD6"/>
    <w:rsid w:val="00C537A8"/>
    <w:rsid w:val="00C5487E"/>
    <w:rsid w:val="00C56663"/>
    <w:rsid w:val="00C568AA"/>
    <w:rsid w:val="00C5720B"/>
    <w:rsid w:val="00C572F6"/>
    <w:rsid w:val="00C57C35"/>
    <w:rsid w:val="00C57EF8"/>
    <w:rsid w:val="00C601ED"/>
    <w:rsid w:val="00C6124B"/>
    <w:rsid w:val="00C61962"/>
    <w:rsid w:val="00C61FCA"/>
    <w:rsid w:val="00C6239F"/>
    <w:rsid w:val="00C62C7C"/>
    <w:rsid w:val="00C6476D"/>
    <w:rsid w:val="00C652C8"/>
    <w:rsid w:val="00C65EC6"/>
    <w:rsid w:val="00C66C0E"/>
    <w:rsid w:val="00C704E1"/>
    <w:rsid w:val="00C70BFB"/>
    <w:rsid w:val="00C71148"/>
    <w:rsid w:val="00C7184F"/>
    <w:rsid w:val="00C71AEF"/>
    <w:rsid w:val="00C73422"/>
    <w:rsid w:val="00C7388B"/>
    <w:rsid w:val="00C73C29"/>
    <w:rsid w:val="00C7501B"/>
    <w:rsid w:val="00C75D64"/>
    <w:rsid w:val="00C761BE"/>
    <w:rsid w:val="00C772C5"/>
    <w:rsid w:val="00C7764B"/>
    <w:rsid w:val="00C80472"/>
    <w:rsid w:val="00C81563"/>
    <w:rsid w:val="00C81C90"/>
    <w:rsid w:val="00C8252D"/>
    <w:rsid w:val="00C828D3"/>
    <w:rsid w:val="00C844B0"/>
    <w:rsid w:val="00C8543D"/>
    <w:rsid w:val="00C8593B"/>
    <w:rsid w:val="00C87204"/>
    <w:rsid w:val="00C90B95"/>
    <w:rsid w:val="00C9278D"/>
    <w:rsid w:val="00C92D82"/>
    <w:rsid w:val="00C93486"/>
    <w:rsid w:val="00C93709"/>
    <w:rsid w:val="00C9384D"/>
    <w:rsid w:val="00C93CC2"/>
    <w:rsid w:val="00C946C7"/>
    <w:rsid w:val="00C94704"/>
    <w:rsid w:val="00C95154"/>
    <w:rsid w:val="00C95542"/>
    <w:rsid w:val="00C9591E"/>
    <w:rsid w:val="00C96C61"/>
    <w:rsid w:val="00C96D28"/>
    <w:rsid w:val="00C97362"/>
    <w:rsid w:val="00CA036E"/>
    <w:rsid w:val="00CA188D"/>
    <w:rsid w:val="00CA1C66"/>
    <w:rsid w:val="00CA237F"/>
    <w:rsid w:val="00CA272F"/>
    <w:rsid w:val="00CA28CE"/>
    <w:rsid w:val="00CA335A"/>
    <w:rsid w:val="00CA34AB"/>
    <w:rsid w:val="00CA37D9"/>
    <w:rsid w:val="00CA389F"/>
    <w:rsid w:val="00CA3EE6"/>
    <w:rsid w:val="00CA5027"/>
    <w:rsid w:val="00CA5EA4"/>
    <w:rsid w:val="00CB2B96"/>
    <w:rsid w:val="00CB3CC0"/>
    <w:rsid w:val="00CB44A2"/>
    <w:rsid w:val="00CB488D"/>
    <w:rsid w:val="00CB58B7"/>
    <w:rsid w:val="00CB5901"/>
    <w:rsid w:val="00CB5D07"/>
    <w:rsid w:val="00CB5D14"/>
    <w:rsid w:val="00CB6DB5"/>
    <w:rsid w:val="00CB7094"/>
    <w:rsid w:val="00CB70B3"/>
    <w:rsid w:val="00CC04DB"/>
    <w:rsid w:val="00CC0BFB"/>
    <w:rsid w:val="00CC0C6C"/>
    <w:rsid w:val="00CC0D4C"/>
    <w:rsid w:val="00CC245E"/>
    <w:rsid w:val="00CC3025"/>
    <w:rsid w:val="00CC3386"/>
    <w:rsid w:val="00CC3EBE"/>
    <w:rsid w:val="00CC5D64"/>
    <w:rsid w:val="00CC6974"/>
    <w:rsid w:val="00CC75BF"/>
    <w:rsid w:val="00CC7B42"/>
    <w:rsid w:val="00CD1C16"/>
    <w:rsid w:val="00CD1D60"/>
    <w:rsid w:val="00CD2304"/>
    <w:rsid w:val="00CD2EE1"/>
    <w:rsid w:val="00CD3504"/>
    <w:rsid w:val="00CD4BCB"/>
    <w:rsid w:val="00CD4D72"/>
    <w:rsid w:val="00CD6416"/>
    <w:rsid w:val="00CD6501"/>
    <w:rsid w:val="00CE04FF"/>
    <w:rsid w:val="00CE1BAB"/>
    <w:rsid w:val="00CE281A"/>
    <w:rsid w:val="00CE3B91"/>
    <w:rsid w:val="00CE3E4D"/>
    <w:rsid w:val="00CE3EB1"/>
    <w:rsid w:val="00CE6207"/>
    <w:rsid w:val="00CE7907"/>
    <w:rsid w:val="00CE7B45"/>
    <w:rsid w:val="00CF1175"/>
    <w:rsid w:val="00CF1963"/>
    <w:rsid w:val="00CF1C47"/>
    <w:rsid w:val="00CF2AEE"/>
    <w:rsid w:val="00CF3540"/>
    <w:rsid w:val="00CF4787"/>
    <w:rsid w:val="00CF4E13"/>
    <w:rsid w:val="00CF51AD"/>
    <w:rsid w:val="00CF7BF8"/>
    <w:rsid w:val="00D00036"/>
    <w:rsid w:val="00D01345"/>
    <w:rsid w:val="00D01D58"/>
    <w:rsid w:val="00D02817"/>
    <w:rsid w:val="00D02AB9"/>
    <w:rsid w:val="00D03E92"/>
    <w:rsid w:val="00D040EF"/>
    <w:rsid w:val="00D048B9"/>
    <w:rsid w:val="00D06904"/>
    <w:rsid w:val="00D104CF"/>
    <w:rsid w:val="00D1177E"/>
    <w:rsid w:val="00D117EA"/>
    <w:rsid w:val="00D12659"/>
    <w:rsid w:val="00D1304C"/>
    <w:rsid w:val="00D14303"/>
    <w:rsid w:val="00D1458D"/>
    <w:rsid w:val="00D16198"/>
    <w:rsid w:val="00D16A01"/>
    <w:rsid w:val="00D21F57"/>
    <w:rsid w:val="00D263C3"/>
    <w:rsid w:val="00D26CA4"/>
    <w:rsid w:val="00D30FCB"/>
    <w:rsid w:val="00D3197E"/>
    <w:rsid w:val="00D31E2F"/>
    <w:rsid w:val="00D3336C"/>
    <w:rsid w:val="00D33E05"/>
    <w:rsid w:val="00D356EC"/>
    <w:rsid w:val="00D36F73"/>
    <w:rsid w:val="00D40446"/>
    <w:rsid w:val="00D404BE"/>
    <w:rsid w:val="00D41895"/>
    <w:rsid w:val="00D41997"/>
    <w:rsid w:val="00D422DB"/>
    <w:rsid w:val="00D4233A"/>
    <w:rsid w:val="00D42612"/>
    <w:rsid w:val="00D43989"/>
    <w:rsid w:val="00D43C00"/>
    <w:rsid w:val="00D450FA"/>
    <w:rsid w:val="00D46B00"/>
    <w:rsid w:val="00D47868"/>
    <w:rsid w:val="00D50460"/>
    <w:rsid w:val="00D50FD0"/>
    <w:rsid w:val="00D5295E"/>
    <w:rsid w:val="00D52C71"/>
    <w:rsid w:val="00D52EC4"/>
    <w:rsid w:val="00D52F2A"/>
    <w:rsid w:val="00D53A1B"/>
    <w:rsid w:val="00D54271"/>
    <w:rsid w:val="00D54573"/>
    <w:rsid w:val="00D546F9"/>
    <w:rsid w:val="00D54B5B"/>
    <w:rsid w:val="00D568C2"/>
    <w:rsid w:val="00D572FF"/>
    <w:rsid w:val="00D57C20"/>
    <w:rsid w:val="00D60081"/>
    <w:rsid w:val="00D60926"/>
    <w:rsid w:val="00D61382"/>
    <w:rsid w:val="00D61B7E"/>
    <w:rsid w:val="00D61D47"/>
    <w:rsid w:val="00D627F6"/>
    <w:rsid w:val="00D62B81"/>
    <w:rsid w:val="00D6394A"/>
    <w:rsid w:val="00D64FF6"/>
    <w:rsid w:val="00D6517D"/>
    <w:rsid w:val="00D6534C"/>
    <w:rsid w:val="00D657BA"/>
    <w:rsid w:val="00D65EDE"/>
    <w:rsid w:val="00D67E9C"/>
    <w:rsid w:val="00D716EA"/>
    <w:rsid w:val="00D71AAA"/>
    <w:rsid w:val="00D71C83"/>
    <w:rsid w:val="00D74A5E"/>
    <w:rsid w:val="00D74AB9"/>
    <w:rsid w:val="00D74B27"/>
    <w:rsid w:val="00D75227"/>
    <w:rsid w:val="00D75293"/>
    <w:rsid w:val="00D7597A"/>
    <w:rsid w:val="00D765D5"/>
    <w:rsid w:val="00D801CB"/>
    <w:rsid w:val="00D803C0"/>
    <w:rsid w:val="00D804F0"/>
    <w:rsid w:val="00D80F44"/>
    <w:rsid w:val="00D81952"/>
    <w:rsid w:val="00D8476A"/>
    <w:rsid w:val="00D84A9B"/>
    <w:rsid w:val="00D84F06"/>
    <w:rsid w:val="00D85394"/>
    <w:rsid w:val="00D86C2A"/>
    <w:rsid w:val="00D86E32"/>
    <w:rsid w:val="00D87F58"/>
    <w:rsid w:val="00D9006B"/>
    <w:rsid w:val="00D91CF8"/>
    <w:rsid w:val="00D93C3F"/>
    <w:rsid w:val="00D94D26"/>
    <w:rsid w:val="00D95185"/>
    <w:rsid w:val="00D95FC8"/>
    <w:rsid w:val="00D96BAB"/>
    <w:rsid w:val="00D9783B"/>
    <w:rsid w:val="00DA0A18"/>
    <w:rsid w:val="00DA0AF0"/>
    <w:rsid w:val="00DA207E"/>
    <w:rsid w:val="00DA2B4F"/>
    <w:rsid w:val="00DA3297"/>
    <w:rsid w:val="00DA4654"/>
    <w:rsid w:val="00DA4D88"/>
    <w:rsid w:val="00DA5F90"/>
    <w:rsid w:val="00DA646F"/>
    <w:rsid w:val="00DA6EA6"/>
    <w:rsid w:val="00DA750B"/>
    <w:rsid w:val="00DA7922"/>
    <w:rsid w:val="00DB0722"/>
    <w:rsid w:val="00DB084D"/>
    <w:rsid w:val="00DB0DAF"/>
    <w:rsid w:val="00DB143C"/>
    <w:rsid w:val="00DB15EF"/>
    <w:rsid w:val="00DB1EDB"/>
    <w:rsid w:val="00DB2601"/>
    <w:rsid w:val="00DB391C"/>
    <w:rsid w:val="00DB52FD"/>
    <w:rsid w:val="00DB5568"/>
    <w:rsid w:val="00DB6AA9"/>
    <w:rsid w:val="00DB6D5E"/>
    <w:rsid w:val="00DB746D"/>
    <w:rsid w:val="00DB7864"/>
    <w:rsid w:val="00DB7C8D"/>
    <w:rsid w:val="00DC007B"/>
    <w:rsid w:val="00DC04A2"/>
    <w:rsid w:val="00DC15B1"/>
    <w:rsid w:val="00DC1622"/>
    <w:rsid w:val="00DC193B"/>
    <w:rsid w:val="00DC1BA2"/>
    <w:rsid w:val="00DC1E48"/>
    <w:rsid w:val="00DC278F"/>
    <w:rsid w:val="00DC56F6"/>
    <w:rsid w:val="00DC5BB2"/>
    <w:rsid w:val="00DC5BF2"/>
    <w:rsid w:val="00DC5D37"/>
    <w:rsid w:val="00DC7687"/>
    <w:rsid w:val="00DD086F"/>
    <w:rsid w:val="00DD0E48"/>
    <w:rsid w:val="00DD10A1"/>
    <w:rsid w:val="00DD11A7"/>
    <w:rsid w:val="00DD250F"/>
    <w:rsid w:val="00DD269E"/>
    <w:rsid w:val="00DD2954"/>
    <w:rsid w:val="00DD37A5"/>
    <w:rsid w:val="00DD42D1"/>
    <w:rsid w:val="00DD46A0"/>
    <w:rsid w:val="00DD4E54"/>
    <w:rsid w:val="00DD533F"/>
    <w:rsid w:val="00DD55C8"/>
    <w:rsid w:val="00DD5E11"/>
    <w:rsid w:val="00DD71AF"/>
    <w:rsid w:val="00DD7BA6"/>
    <w:rsid w:val="00DD7C79"/>
    <w:rsid w:val="00DE02E9"/>
    <w:rsid w:val="00DE0C39"/>
    <w:rsid w:val="00DE124B"/>
    <w:rsid w:val="00DE172B"/>
    <w:rsid w:val="00DE3702"/>
    <w:rsid w:val="00DE3B17"/>
    <w:rsid w:val="00DE3CB7"/>
    <w:rsid w:val="00DE3CDA"/>
    <w:rsid w:val="00DE5FB4"/>
    <w:rsid w:val="00DE6DD9"/>
    <w:rsid w:val="00DE6EA4"/>
    <w:rsid w:val="00DE7C36"/>
    <w:rsid w:val="00DF0A9F"/>
    <w:rsid w:val="00DF1BB1"/>
    <w:rsid w:val="00DF1DEE"/>
    <w:rsid w:val="00DF2B4C"/>
    <w:rsid w:val="00DF3C18"/>
    <w:rsid w:val="00DF3C93"/>
    <w:rsid w:val="00DF3E79"/>
    <w:rsid w:val="00DF42EC"/>
    <w:rsid w:val="00DF6088"/>
    <w:rsid w:val="00E00015"/>
    <w:rsid w:val="00E00FB0"/>
    <w:rsid w:val="00E026B1"/>
    <w:rsid w:val="00E02A99"/>
    <w:rsid w:val="00E02FC7"/>
    <w:rsid w:val="00E045DD"/>
    <w:rsid w:val="00E05250"/>
    <w:rsid w:val="00E060C6"/>
    <w:rsid w:val="00E06327"/>
    <w:rsid w:val="00E07624"/>
    <w:rsid w:val="00E07E12"/>
    <w:rsid w:val="00E07F61"/>
    <w:rsid w:val="00E10266"/>
    <w:rsid w:val="00E10566"/>
    <w:rsid w:val="00E1078D"/>
    <w:rsid w:val="00E110AF"/>
    <w:rsid w:val="00E13557"/>
    <w:rsid w:val="00E13A60"/>
    <w:rsid w:val="00E13D2F"/>
    <w:rsid w:val="00E16195"/>
    <w:rsid w:val="00E17E4B"/>
    <w:rsid w:val="00E17EA3"/>
    <w:rsid w:val="00E20109"/>
    <w:rsid w:val="00E20270"/>
    <w:rsid w:val="00E20809"/>
    <w:rsid w:val="00E212F5"/>
    <w:rsid w:val="00E214B3"/>
    <w:rsid w:val="00E21685"/>
    <w:rsid w:val="00E24082"/>
    <w:rsid w:val="00E24D41"/>
    <w:rsid w:val="00E26489"/>
    <w:rsid w:val="00E265A8"/>
    <w:rsid w:val="00E26923"/>
    <w:rsid w:val="00E27137"/>
    <w:rsid w:val="00E27258"/>
    <w:rsid w:val="00E27F98"/>
    <w:rsid w:val="00E30691"/>
    <w:rsid w:val="00E310AD"/>
    <w:rsid w:val="00E31EA1"/>
    <w:rsid w:val="00E32737"/>
    <w:rsid w:val="00E32C3C"/>
    <w:rsid w:val="00E341B2"/>
    <w:rsid w:val="00E3619A"/>
    <w:rsid w:val="00E36782"/>
    <w:rsid w:val="00E36ECB"/>
    <w:rsid w:val="00E378F7"/>
    <w:rsid w:val="00E403C7"/>
    <w:rsid w:val="00E40854"/>
    <w:rsid w:val="00E41504"/>
    <w:rsid w:val="00E422AA"/>
    <w:rsid w:val="00E4470A"/>
    <w:rsid w:val="00E47AED"/>
    <w:rsid w:val="00E47D88"/>
    <w:rsid w:val="00E51107"/>
    <w:rsid w:val="00E51389"/>
    <w:rsid w:val="00E52675"/>
    <w:rsid w:val="00E52ABA"/>
    <w:rsid w:val="00E52E49"/>
    <w:rsid w:val="00E53FB5"/>
    <w:rsid w:val="00E5413A"/>
    <w:rsid w:val="00E54A8E"/>
    <w:rsid w:val="00E56F4E"/>
    <w:rsid w:val="00E605A3"/>
    <w:rsid w:val="00E61F7E"/>
    <w:rsid w:val="00E62984"/>
    <w:rsid w:val="00E643EB"/>
    <w:rsid w:val="00E64529"/>
    <w:rsid w:val="00E64532"/>
    <w:rsid w:val="00E64585"/>
    <w:rsid w:val="00E66F76"/>
    <w:rsid w:val="00E670EF"/>
    <w:rsid w:val="00E672A1"/>
    <w:rsid w:val="00E672F4"/>
    <w:rsid w:val="00E67D72"/>
    <w:rsid w:val="00E67DBE"/>
    <w:rsid w:val="00E70010"/>
    <w:rsid w:val="00E7093D"/>
    <w:rsid w:val="00E71010"/>
    <w:rsid w:val="00E71FEE"/>
    <w:rsid w:val="00E726A9"/>
    <w:rsid w:val="00E72C80"/>
    <w:rsid w:val="00E74836"/>
    <w:rsid w:val="00E7483F"/>
    <w:rsid w:val="00E74B44"/>
    <w:rsid w:val="00E75D0C"/>
    <w:rsid w:val="00E763D3"/>
    <w:rsid w:val="00E768AD"/>
    <w:rsid w:val="00E770D1"/>
    <w:rsid w:val="00E77716"/>
    <w:rsid w:val="00E80452"/>
    <w:rsid w:val="00E80EFF"/>
    <w:rsid w:val="00E812F3"/>
    <w:rsid w:val="00E8263E"/>
    <w:rsid w:val="00E8338A"/>
    <w:rsid w:val="00E84DB0"/>
    <w:rsid w:val="00E85A2F"/>
    <w:rsid w:val="00E85B01"/>
    <w:rsid w:val="00E85CED"/>
    <w:rsid w:val="00E85F23"/>
    <w:rsid w:val="00E85F7A"/>
    <w:rsid w:val="00E8716C"/>
    <w:rsid w:val="00E873ED"/>
    <w:rsid w:val="00E90F8D"/>
    <w:rsid w:val="00E911BA"/>
    <w:rsid w:val="00E917A9"/>
    <w:rsid w:val="00E918E2"/>
    <w:rsid w:val="00E91B44"/>
    <w:rsid w:val="00E924FA"/>
    <w:rsid w:val="00E9362B"/>
    <w:rsid w:val="00E936C3"/>
    <w:rsid w:val="00E94637"/>
    <w:rsid w:val="00E97187"/>
    <w:rsid w:val="00E97A30"/>
    <w:rsid w:val="00EA02C7"/>
    <w:rsid w:val="00EA05BB"/>
    <w:rsid w:val="00EA0E43"/>
    <w:rsid w:val="00EA1328"/>
    <w:rsid w:val="00EA2601"/>
    <w:rsid w:val="00EA2630"/>
    <w:rsid w:val="00EA3013"/>
    <w:rsid w:val="00EA34A7"/>
    <w:rsid w:val="00EA3AC9"/>
    <w:rsid w:val="00EA3FB6"/>
    <w:rsid w:val="00EA409E"/>
    <w:rsid w:val="00EA4A60"/>
    <w:rsid w:val="00EA5289"/>
    <w:rsid w:val="00EA6489"/>
    <w:rsid w:val="00EA79CB"/>
    <w:rsid w:val="00EB109C"/>
    <w:rsid w:val="00EB1160"/>
    <w:rsid w:val="00EB13E9"/>
    <w:rsid w:val="00EB2161"/>
    <w:rsid w:val="00EB6E4E"/>
    <w:rsid w:val="00EB7489"/>
    <w:rsid w:val="00EB7CED"/>
    <w:rsid w:val="00EB7F99"/>
    <w:rsid w:val="00EC1274"/>
    <w:rsid w:val="00EC1F78"/>
    <w:rsid w:val="00EC3C0A"/>
    <w:rsid w:val="00EC5367"/>
    <w:rsid w:val="00EC5988"/>
    <w:rsid w:val="00EC6BAD"/>
    <w:rsid w:val="00EC6F6E"/>
    <w:rsid w:val="00EC7AE1"/>
    <w:rsid w:val="00EC7F31"/>
    <w:rsid w:val="00ED0D39"/>
    <w:rsid w:val="00ED114A"/>
    <w:rsid w:val="00ED12CC"/>
    <w:rsid w:val="00ED130C"/>
    <w:rsid w:val="00ED1666"/>
    <w:rsid w:val="00ED27D9"/>
    <w:rsid w:val="00ED4A11"/>
    <w:rsid w:val="00ED57E8"/>
    <w:rsid w:val="00ED5D78"/>
    <w:rsid w:val="00ED71FE"/>
    <w:rsid w:val="00ED77AF"/>
    <w:rsid w:val="00ED79C1"/>
    <w:rsid w:val="00ED7BAE"/>
    <w:rsid w:val="00EE0025"/>
    <w:rsid w:val="00EE0B72"/>
    <w:rsid w:val="00EE13C6"/>
    <w:rsid w:val="00EE157E"/>
    <w:rsid w:val="00EE2B73"/>
    <w:rsid w:val="00EE2E2B"/>
    <w:rsid w:val="00EE4B2E"/>
    <w:rsid w:val="00EE508E"/>
    <w:rsid w:val="00EE669C"/>
    <w:rsid w:val="00EE68E7"/>
    <w:rsid w:val="00EE7796"/>
    <w:rsid w:val="00EF0675"/>
    <w:rsid w:val="00EF1417"/>
    <w:rsid w:val="00EF1461"/>
    <w:rsid w:val="00EF1BA1"/>
    <w:rsid w:val="00EF1FCD"/>
    <w:rsid w:val="00EF3D5D"/>
    <w:rsid w:val="00EF555B"/>
    <w:rsid w:val="00F002B3"/>
    <w:rsid w:val="00F0142A"/>
    <w:rsid w:val="00F02467"/>
    <w:rsid w:val="00F028F3"/>
    <w:rsid w:val="00F02D93"/>
    <w:rsid w:val="00F05480"/>
    <w:rsid w:val="00F06AE8"/>
    <w:rsid w:val="00F07A35"/>
    <w:rsid w:val="00F10EAB"/>
    <w:rsid w:val="00F122CF"/>
    <w:rsid w:val="00F12B8A"/>
    <w:rsid w:val="00F12E94"/>
    <w:rsid w:val="00F15042"/>
    <w:rsid w:val="00F15D6A"/>
    <w:rsid w:val="00F16081"/>
    <w:rsid w:val="00F161B8"/>
    <w:rsid w:val="00F16E5B"/>
    <w:rsid w:val="00F20064"/>
    <w:rsid w:val="00F20079"/>
    <w:rsid w:val="00F2012F"/>
    <w:rsid w:val="00F207E0"/>
    <w:rsid w:val="00F2125C"/>
    <w:rsid w:val="00F2237C"/>
    <w:rsid w:val="00F223F3"/>
    <w:rsid w:val="00F22771"/>
    <w:rsid w:val="00F22BDB"/>
    <w:rsid w:val="00F232E9"/>
    <w:rsid w:val="00F236E0"/>
    <w:rsid w:val="00F23D27"/>
    <w:rsid w:val="00F240F7"/>
    <w:rsid w:val="00F241BA"/>
    <w:rsid w:val="00F24E2F"/>
    <w:rsid w:val="00F25A4E"/>
    <w:rsid w:val="00F26626"/>
    <w:rsid w:val="00F270DF"/>
    <w:rsid w:val="00F27DC3"/>
    <w:rsid w:val="00F27E46"/>
    <w:rsid w:val="00F310F1"/>
    <w:rsid w:val="00F311F7"/>
    <w:rsid w:val="00F33230"/>
    <w:rsid w:val="00F3329C"/>
    <w:rsid w:val="00F332DF"/>
    <w:rsid w:val="00F348AF"/>
    <w:rsid w:val="00F356F4"/>
    <w:rsid w:val="00F37AA2"/>
    <w:rsid w:val="00F42058"/>
    <w:rsid w:val="00F42B4F"/>
    <w:rsid w:val="00F42FF6"/>
    <w:rsid w:val="00F431A0"/>
    <w:rsid w:val="00F4429C"/>
    <w:rsid w:val="00F44479"/>
    <w:rsid w:val="00F46864"/>
    <w:rsid w:val="00F46C70"/>
    <w:rsid w:val="00F46F62"/>
    <w:rsid w:val="00F471E9"/>
    <w:rsid w:val="00F47F19"/>
    <w:rsid w:val="00F51468"/>
    <w:rsid w:val="00F51F60"/>
    <w:rsid w:val="00F52896"/>
    <w:rsid w:val="00F5310E"/>
    <w:rsid w:val="00F53385"/>
    <w:rsid w:val="00F5355A"/>
    <w:rsid w:val="00F53B8D"/>
    <w:rsid w:val="00F54882"/>
    <w:rsid w:val="00F54954"/>
    <w:rsid w:val="00F54B76"/>
    <w:rsid w:val="00F551A3"/>
    <w:rsid w:val="00F5532B"/>
    <w:rsid w:val="00F55387"/>
    <w:rsid w:val="00F56782"/>
    <w:rsid w:val="00F57B45"/>
    <w:rsid w:val="00F60283"/>
    <w:rsid w:val="00F606EF"/>
    <w:rsid w:val="00F6197E"/>
    <w:rsid w:val="00F63842"/>
    <w:rsid w:val="00F64757"/>
    <w:rsid w:val="00F655BE"/>
    <w:rsid w:val="00F6618F"/>
    <w:rsid w:val="00F67E90"/>
    <w:rsid w:val="00F7056D"/>
    <w:rsid w:val="00F7169E"/>
    <w:rsid w:val="00F7196E"/>
    <w:rsid w:val="00F72E40"/>
    <w:rsid w:val="00F734B9"/>
    <w:rsid w:val="00F73602"/>
    <w:rsid w:val="00F73C84"/>
    <w:rsid w:val="00F74560"/>
    <w:rsid w:val="00F74803"/>
    <w:rsid w:val="00F75476"/>
    <w:rsid w:val="00F759D4"/>
    <w:rsid w:val="00F76422"/>
    <w:rsid w:val="00F765EF"/>
    <w:rsid w:val="00F76882"/>
    <w:rsid w:val="00F77B71"/>
    <w:rsid w:val="00F80558"/>
    <w:rsid w:val="00F80ED2"/>
    <w:rsid w:val="00F812B6"/>
    <w:rsid w:val="00F8158D"/>
    <w:rsid w:val="00F819F7"/>
    <w:rsid w:val="00F82AC9"/>
    <w:rsid w:val="00F830E3"/>
    <w:rsid w:val="00F849E4"/>
    <w:rsid w:val="00F85D61"/>
    <w:rsid w:val="00F92A5E"/>
    <w:rsid w:val="00F943AC"/>
    <w:rsid w:val="00F94519"/>
    <w:rsid w:val="00F97D36"/>
    <w:rsid w:val="00F97E4B"/>
    <w:rsid w:val="00F97FDA"/>
    <w:rsid w:val="00FA0659"/>
    <w:rsid w:val="00FA0F93"/>
    <w:rsid w:val="00FA17B3"/>
    <w:rsid w:val="00FA2177"/>
    <w:rsid w:val="00FA2382"/>
    <w:rsid w:val="00FA2614"/>
    <w:rsid w:val="00FA31FF"/>
    <w:rsid w:val="00FA3549"/>
    <w:rsid w:val="00FA5BBA"/>
    <w:rsid w:val="00FA6468"/>
    <w:rsid w:val="00FA6872"/>
    <w:rsid w:val="00FA71A4"/>
    <w:rsid w:val="00FB01AF"/>
    <w:rsid w:val="00FB1C1A"/>
    <w:rsid w:val="00FB1FB0"/>
    <w:rsid w:val="00FB2D71"/>
    <w:rsid w:val="00FB3852"/>
    <w:rsid w:val="00FB3A03"/>
    <w:rsid w:val="00FB3DD0"/>
    <w:rsid w:val="00FB3DFD"/>
    <w:rsid w:val="00FB422F"/>
    <w:rsid w:val="00FB4D07"/>
    <w:rsid w:val="00FB6B33"/>
    <w:rsid w:val="00FB7901"/>
    <w:rsid w:val="00FC2100"/>
    <w:rsid w:val="00FC4C3E"/>
    <w:rsid w:val="00FC62B8"/>
    <w:rsid w:val="00FC6A3E"/>
    <w:rsid w:val="00FC7402"/>
    <w:rsid w:val="00FC77A9"/>
    <w:rsid w:val="00FC79A6"/>
    <w:rsid w:val="00FD00AC"/>
    <w:rsid w:val="00FD0B8F"/>
    <w:rsid w:val="00FD120E"/>
    <w:rsid w:val="00FD1F17"/>
    <w:rsid w:val="00FD2660"/>
    <w:rsid w:val="00FD353B"/>
    <w:rsid w:val="00FD4F4E"/>
    <w:rsid w:val="00FD52DB"/>
    <w:rsid w:val="00FD53E9"/>
    <w:rsid w:val="00FD5A9A"/>
    <w:rsid w:val="00FD64A1"/>
    <w:rsid w:val="00FE006A"/>
    <w:rsid w:val="00FE0ADB"/>
    <w:rsid w:val="00FE11BE"/>
    <w:rsid w:val="00FE13A5"/>
    <w:rsid w:val="00FE1B1C"/>
    <w:rsid w:val="00FE25E6"/>
    <w:rsid w:val="00FE35C7"/>
    <w:rsid w:val="00FE3C01"/>
    <w:rsid w:val="00FE46D5"/>
    <w:rsid w:val="00FE4DD7"/>
    <w:rsid w:val="00FE6678"/>
    <w:rsid w:val="00FE696E"/>
    <w:rsid w:val="00FE6BCD"/>
    <w:rsid w:val="00FE7239"/>
    <w:rsid w:val="00FE7D36"/>
    <w:rsid w:val="00FF0ACE"/>
    <w:rsid w:val="00FF0C8A"/>
    <w:rsid w:val="00FF121C"/>
    <w:rsid w:val="00FF45D9"/>
    <w:rsid w:val="00FF4643"/>
    <w:rsid w:val="00FF490C"/>
    <w:rsid w:val="00FF4E3C"/>
    <w:rsid w:val="00FF4EB7"/>
    <w:rsid w:val="00FF518F"/>
    <w:rsid w:val="00FF6CBD"/>
    <w:rsid w:val="00FF6D6E"/>
    <w:rsid w:val="00FF772E"/>
    <w:rsid w:val="00FF7C84"/>
    <w:rsid w:val="01382D43"/>
    <w:rsid w:val="014139A2"/>
    <w:rsid w:val="0151A26E"/>
    <w:rsid w:val="01C6971E"/>
    <w:rsid w:val="01D5078C"/>
    <w:rsid w:val="01FAC301"/>
    <w:rsid w:val="0252EEFA"/>
    <w:rsid w:val="025E8F93"/>
    <w:rsid w:val="02706C7A"/>
    <w:rsid w:val="027F167C"/>
    <w:rsid w:val="02B19CA2"/>
    <w:rsid w:val="02B94695"/>
    <w:rsid w:val="02C3DBB9"/>
    <w:rsid w:val="0302EA1B"/>
    <w:rsid w:val="030A373A"/>
    <w:rsid w:val="031D3CFD"/>
    <w:rsid w:val="032142F7"/>
    <w:rsid w:val="0322FF40"/>
    <w:rsid w:val="033F393B"/>
    <w:rsid w:val="0356B60D"/>
    <w:rsid w:val="035BEF7B"/>
    <w:rsid w:val="036959B4"/>
    <w:rsid w:val="03CA4FAE"/>
    <w:rsid w:val="03D5EB00"/>
    <w:rsid w:val="03DF181E"/>
    <w:rsid w:val="03F14F11"/>
    <w:rsid w:val="03F9DED4"/>
    <w:rsid w:val="04095D87"/>
    <w:rsid w:val="040AAC15"/>
    <w:rsid w:val="0447C4E8"/>
    <w:rsid w:val="045C913C"/>
    <w:rsid w:val="04823626"/>
    <w:rsid w:val="04C084FA"/>
    <w:rsid w:val="04C41EC6"/>
    <w:rsid w:val="04D8709B"/>
    <w:rsid w:val="04E0C103"/>
    <w:rsid w:val="04F347D2"/>
    <w:rsid w:val="04F7BFDC"/>
    <w:rsid w:val="05007D45"/>
    <w:rsid w:val="0533CFFA"/>
    <w:rsid w:val="05350679"/>
    <w:rsid w:val="05419CBE"/>
    <w:rsid w:val="0547B5BF"/>
    <w:rsid w:val="0560B995"/>
    <w:rsid w:val="057B6335"/>
    <w:rsid w:val="05894866"/>
    <w:rsid w:val="05900067"/>
    <w:rsid w:val="059F6B71"/>
    <w:rsid w:val="05ECC506"/>
    <w:rsid w:val="061493AC"/>
    <w:rsid w:val="063A8ADD"/>
    <w:rsid w:val="0649B4D7"/>
    <w:rsid w:val="0698913E"/>
    <w:rsid w:val="06B96F8D"/>
    <w:rsid w:val="071648DC"/>
    <w:rsid w:val="07708AE2"/>
    <w:rsid w:val="07970E65"/>
    <w:rsid w:val="07988E07"/>
    <w:rsid w:val="079AB916"/>
    <w:rsid w:val="079F1E16"/>
    <w:rsid w:val="07B0640D"/>
    <w:rsid w:val="07BD32E1"/>
    <w:rsid w:val="07D37C9A"/>
    <w:rsid w:val="0821A6B2"/>
    <w:rsid w:val="0839AE33"/>
    <w:rsid w:val="083BE37E"/>
    <w:rsid w:val="0885ECF9"/>
    <w:rsid w:val="08A42059"/>
    <w:rsid w:val="08BF6303"/>
    <w:rsid w:val="0912E818"/>
    <w:rsid w:val="09296ED3"/>
    <w:rsid w:val="092F5FBF"/>
    <w:rsid w:val="0932DFCD"/>
    <w:rsid w:val="0937C598"/>
    <w:rsid w:val="09590342"/>
    <w:rsid w:val="09A2C96B"/>
    <w:rsid w:val="09B92564"/>
    <w:rsid w:val="09C7B181"/>
    <w:rsid w:val="09E3BA41"/>
    <w:rsid w:val="0B2357DC"/>
    <w:rsid w:val="0B2AC9AB"/>
    <w:rsid w:val="0B51706B"/>
    <w:rsid w:val="0B6E1E22"/>
    <w:rsid w:val="0B92F654"/>
    <w:rsid w:val="0B94B95C"/>
    <w:rsid w:val="0B97B5E5"/>
    <w:rsid w:val="0B98B2FF"/>
    <w:rsid w:val="0BB9EFB9"/>
    <w:rsid w:val="0BC2E633"/>
    <w:rsid w:val="0BF328C6"/>
    <w:rsid w:val="0BFDD3F7"/>
    <w:rsid w:val="0C1A78BD"/>
    <w:rsid w:val="0C20224D"/>
    <w:rsid w:val="0C324849"/>
    <w:rsid w:val="0C41BCB9"/>
    <w:rsid w:val="0C4DD030"/>
    <w:rsid w:val="0C630AED"/>
    <w:rsid w:val="0C66F7D0"/>
    <w:rsid w:val="0C825D45"/>
    <w:rsid w:val="0C99DEDD"/>
    <w:rsid w:val="0CA4C27C"/>
    <w:rsid w:val="0CA9CC61"/>
    <w:rsid w:val="0CBF283D"/>
    <w:rsid w:val="0CCD8B0C"/>
    <w:rsid w:val="0CD414ED"/>
    <w:rsid w:val="0CDF8B4F"/>
    <w:rsid w:val="0CEA44A5"/>
    <w:rsid w:val="0D1344BB"/>
    <w:rsid w:val="0D2B7635"/>
    <w:rsid w:val="0D3C7BAB"/>
    <w:rsid w:val="0D4B139F"/>
    <w:rsid w:val="0DC04399"/>
    <w:rsid w:val="0DD5B301"/>
    <w:rsid w:val="0E02D0E2"/>
    <w:rsid w:val="0E0EDD9E"/>
    <w:rsid w:val="0E4FCDEA"/>
    <w:rsid w:val="0E5D1A62"/>
    <w:rsid w:val="0EBF5680"/>
    <w:rsid w:val="0ECF56A7"/>
    <w:rsid w:val="0ED657EA"/>
    <w:rsid w:val="0EE6709B"/>
    <w:rsid w:val="0EF3CF93"/>
    <w:rsid w:val="0F1ECB23"/>
    <w:rsid w:val="0F26E517"/>
    <w:rsid w:val="0F33B419"/>
    <w:rsid w:val="0F509198"/>
    <w:rsid w:val="0F51CBA9"/>
    <w:rsid w:val="0F5546AC"/>
    <w:rsid w:val="0F7071AE"/>
    <w:rsid w:val="0F8CA29E"/>
    <w:rsid w:val="0FC02ED0"/>
    <w:rsid w:val="0FCFAC0E"/>
    <w:rsid w:val="0FDD204E"/>
    <w:rsid w:val="0FEEDB79"/>
    <w:rsid w:val="0FF6C8FF"/>
    <w:rsid w:val="0FF7F465"/>
    <w:rsid w:val="102EF77A"/>
    <w:rsid w:val="103573DA"/>
    <w:rsid w:val="10528848"/>
    <w:rsid w:val="108BF656"/>
    <w:rsid w:val="10A8E111"/>
    <w:rsid w:val="10AF160C"/>
    <w:rsid w:val="10B6A9BC"/>
    <w:rsid w:val="10FF5AEB"/>
    <w:rsid w:val="111FB56A"/>
    <w:rsid w:val="1135D0BF"/>
    <w:rsid w:val="113A71A4"/>
    <w:rsid w:val="1152B168"/>
    <w:rsid w:val="117324C2"/>
    <w:rsid w:val="1179847F"/>
    <w:rsid w:val="1194BB24"/>
    <w:rsid w:val="11A183C7"/>
    <w:rsid w:val="11B6A04E"/>
    <w:rsid w:val="11D1443B"/>
    <w:rsid w:val="11D2376B"/>
    <w:rsid w:val="11D4F721"/>
    <w:rsid w:val="11E1D42D"/>
    <w:rsid w:val="11F4AFE9"/>
    <w:rsid w:val="1221574F"/>
    <w:rsid w:val="124AF9C8"/>
    <w:rsid w:val="125AA4E5"/>
    <w:rsid w:val="128A3244"/>
    <w:rsid w:val="12AB14D3"/>
    <w:rsid w:val="12C3E468"/>
    <w:rsid w:val="12D688B7"/>
    <w:rsid w:val="12E21718"/>
    <w:rsid w:val="12EBF377"/>
    <w:rsid w:val="132E69C1"/>
    <w:rsid w:val="13454CB1"/>
    <w:rsid w:val="1370C782"/>
    <w:rsid w:val="1386C541"/>
    <w:rsid w:val="138FBEC4"/>
    <w:rsid w:val="13A421C4"/>
    <w:rsid w:val="13ED7331"/>
    <w:rsid w:val="13F7494B"/>
    <w:rsid w:val="14117846"/>
    <w:rsid w:val="14725918"/>
    <w:rsid w:val="1485631F"/>
    <w:rsid w:val="14AA320E"/>
    <w:rsid w:val="14F51181"/>
    <w:rsid w:val="14FC4034"/>
    <w:rsid w:val="150B635F"/>
    <w:rsid w:val="152C2F8F"/>
    <w:rsid w:val="153CEE4E"/>
    <w:rsid w:val="1577286D"/>
    <w:rsid w:val="15AAEF42"/>
    <w:rsid w:val="15C3999B"/>
    <w:rsid w:val="15DF8D3F"/>
    <w:rsid w:val="15FF87E4"/>
    <w:rsid w:val="16153794"/>
    <w:rsid w:val="164FAF05"/>
    <w:rsid w:val="1659462F"/>
    <w:rsid w:val="1666B078"/>
    <w:rsid w:val="1679ECED"/>
    <w:rsid w:val="1698C72F"/>
    <w:rsid w:val="16CA3594"/>
    <w:rsid w:val="16CC57CD"/>
    <w:rsid w:val="16D55391"/>
    <w:rsid w:val="16E64F3E"/>
    <w:rsid w:val="16F0FA89"/>
    <w:rsid w:val="170FA449"/>
    <w:rsid w:val="1726B29B"/>
    <w:rsid w:val="175C8C6D"/>
    <w:rsid w:val="17683401"/>
    <w:rsid w:val="1771AB60"/>
    <w:rsid w:val="17A9F9DA"/>
    <w:rsid w:val="17BD79E8"/>
    <w:rsid w:val="18082B86"/>
    <w:rsid w:val="1822BF16"/>
    <w:rsid w:val="1840D8FA"/>
    <w:rsid w:val="184680D0"/>
    <w:rsid w:val="18AE3207"/>
    <w:rsid w:val="18E0363B"/>
    <w:rsid w:val="1914780E"/>
    <w:rsid w:val="19339EA9"/>
    <w:rsid w:val="19409F2A"/>
    <w:rsid w:val="199DAB45"/>
    <w:rsid w:val="19AB4016"/>
    <w:rsid w:val="19BDC890"/>
    <w:rsid w:val="1A33C198"/>
    <w:rsid w:val="1A66E97C"/>
    <w:rsid w:val="1A692FEA"/>
    <w:rsid w:val="1A7A3AB8"/>
    <w:rsid w:val="1A7C069C"/>
    <w:rsid w:val="1A970ABE"/>
    <w:rsid w:val="1AB87CC0"/>
    <w:rsid w:val="1ABC80B2"/>
    <w:rsid w:val="1AC44577"/>
    <w:rsid w:val="1AC63CF4"/>
    <w:rsid w:val="1AEE5549"/>
    <w:rsid w:val="1B044076"/>
    <w:rsid w:val="1B24E918"/>
    <w:rsid w:val="1B2878CE"/>
    <w:rsid w:val="1B4705B2"/>
    <w:rsid w:val="1B5B7842"/>
    <w:rsid w:val="1B6BEA53"/>
    <w:rsid w:val="1B9EB288"/>
    <w:rsid w:val="1BCFCDE9"/>
    <w:rsid w:val="1BD79E08"/>
    <w:rsid w:val="1BDDBED1"/>
    <w:rsid w:val="1BE3472A"/>
    <w:rsid w:val="1BF42BDB"/>
    <w:rsid w:val="1BFBF26F"/>
    <w:rsid w:val="1C092BDC"/>
    <w:rsid w:val="1C2CB1E5"/>
    <w:rsid w:val="1C65CF1F"/>
    <w:rsid w:val="1C6966BF"/>
    <w:rsid w:val="1C79261B"/>
    <w:rsid w:val="1C8E2632"/>
    <w:rsid w:val="1CC0B979"/>
    <w:rsid w:val="1CCA72E7"/>
    <w:rsid w:val="1CD54C07"/>
    <w:rsid w:val="1CE686DE"/>
    <w:rsid w:val="1CF31125"/>
    <w:rsid w:val="1D0ED776"/>
    <w:rsid w:val="1D6B105E"/>
    <w:rsid w:val="1D8B5375"/>
    <w:rsid w:val="1D8D4318"/>
    <w:rsid w:val="1D9A8AC1"/>
    <w:rsid w:val="1D9A90F6"/>
    <w:rsid w:val="1DDD11DB"/>
    <w:rsid w:val="1E7F9CAE"/>
    <w:rsid w:val="1EC81DE4"/>
    <w:rsid w:val="1F08C20B"/>
    <w:rsid w:val="1F106292"/>
    <w:rsid w:val="1F45514B"/>
    <w:rsid w:val="1F4C4FDE"/>
    <w:rsid w:val="1F7A23C4"/>
    <w:rsid w:val="1F8F6082"/>
    <w:rsid w:val="1FBC7E65"/>
    <w:rsid w:val="1FC11221"/>
    <w:rsid w:val="200DED44"/>
    <w:rsid w:val="201A76D5"/>
    <w:rsid w:val="206BAC79"/>
    <w:rsid w:val="2090ABDA"/>
    <w:rsid w:val="20965DF2"/>
    <w:rsid w:val="209EE4F4"/>
    <w:rsid w:val="20B681DB"/>
    <w:rsid w:val="20D5423B"/>
    <w:rsid w:val="210B4F49"/>
    <w:rsid w:val="2146844F"/>
    <w:rsid w:val="2158B096"/>
    <w:rsid w:val="2172DFEC"/>
    <w:rsid w:val="21754D4B"/>
    <w:rsid w:val="21B078FF"/>
    <w:rsid w:val="21E24899"/>
    <w:rsid w:val="21E251E2"/>
    <w:rsid w:val="2204E1F0"/>
    <w:rsid w:val="222508B9"/>
    <w:rsid w:val="223BE571"/>
    <w:rsid w:val="224062CD"/>
    <w:rsid w:val="2245D78F"/>
    <w:rsid w:val="22707CF7"/>
    <w:rsid w:val="22766E7B"/>
    <w:rsid w:val="227CDC6A"/>
    <w:rsid w:val="2281D5BE"/>
    <w:rsid w:val="2288F446"/>
    <w:rsid w:val="22D14ED9"/>
    <w:rsid w:val="22F35CB6"/>
    <w:rsid w:val="231742DD"/>
    <w:rsid w:val="23358207"/>
    <w:rsid w:val="23409302"/>
    <w:rsid w:val="237E18FA"/>
    <w:rsid w:val="239E3082"/>
    <w:rsid w:val="23E5EEE4"/>
    <w:rsid w:val="23ED19A2"/>
    <w:rsid w:val="24291589"/>
    <w:rsid w:val="2437E46D"/>
    <w:rsid w:val="2442F175"/>
    <w:rsid w:val="245DD2FC"/>
    <w:rsid w:val="2461A9BD"/>
    <w:rsid w:val="246D1F3A"/>
    <w:rsid w:val="2471C63A"/>
    <w:rsid w:val="247658B0"/>
    <w:rsid w:val="2476FB59"/>
    <w:rsid w:val="2485A358"/>
    <w:rsid w:val="24DDCD6C"/>
    <w:rsid w:val="2503F1D1"/>
    <w:rsid w:val="2523A4F8"/>
    <w:rsid w:val="255C6607"/>
    <w:rsid w:val="25831811"/>
    <w:rsid w:val="2596E5C5"/>
    <w:rsid w:val="25C9E357"/>
    <w:rsid w:val="25FD35AD"/>
    <w:rsid w:val="260E23D0"/>
    <w:rsid w:val="2612CBBA"/>
    <w:rsid w:val="26172B48"/>
    <w:rsid w:val="266457A5"/>
    <w:rsid w:val="26725CAF"/>
    <w:rsid w:val="2685D62E"/>
    <w:rsid w:val="269C915F"/>
    <w:rsid w:val="26C1E06F"/>
    <w:rsid w:val="26FAAB93"/>
    <w:rsid w:val="270F5694"/>
    <w:rsid w:val="27132DDF"/>
    <w:rsid w:val="2772626C"/>
    <w:rsid w:val="28E372CE"/>
    <w:rsid w:val="28E521FF"/>
    <w:rsid w:val="28EEBFF0"/>
    <w:rsid w:val="2956C455"/>
    <w:rsid w:val="2965C226"/>
    <w:rsid w:val="29733E49"/>
    <w:rsid w:val="29AC9688"/>
    <w:rsid w:val="29E609DF"/>
    <w:rsid w:val="2A1A8731"/>
    <w:rsid w:val="2A244344"/>
    <w:rsid w:val="2A3E5856"/>
    <w:rsid w:val="2A500A48"/>
    <w:rsid w:val="2A6A56E8"/>
    <w:rsid w:val="2A88AD32"/>
    <w:rsid w:val="2AB55F69"/>
    <w:rsid w:val="2AC0078E"/>
    <w:rsid w:val="2AC3E57E"/>
    <w:rsid w:val="2ACAA8B7"/>
    <w:rsid w:val="2AEE133D"/>
    <w:rsid w:val="2AFE3E02"/>
    <w:rsid w:val="2B09C612"/>
    <w:rsid w:val="2B478933"/>
    <w:rsid w:val="2B490F1F"/>
    <w:rsid w:val="2B7E8BCB"/>
    <w:rsid w:val="2B8B714A"/>
    <w:rsid w:val="2B97ECC5"/>
    <w:rsid w:val="2BCFF949"/>
    <w:rsid w:val="2BDD9C8B"/>
    <w:rsid w:val="2BFB993E"/>
    <w:rsid w:val="2BFBB5CD"/>
    <w:rsid w:val="2C3C7E91"/>
    <w:rsid w:val="2C3E1228"/>
    <w:rsid w:val="2C4A9D18"/>
    <w:rsid w:val="2C52A3D0"/>
    <w:rsid w:val="2C683A70"/>
    <w:rsid w:val="2C712E1F"/>
    <w:rsid w:val="2C7D6712"/>
    <w:rsid w:val="2C9AFB89"/>
    <w:rsid w:val="2CA767BE"/>
    <w:rsid w:val="2CBAA6AC"/>
    <w:rsid w:val="2CE8E005"/>
    <w:rsid w:val="2CE95ED5"/>
    <w:rsid w:val="2D176AAC"/>
    <w:rsid w:val="2D261E70"/>
    <w:rsid w:val="2D6D4745"/>
    <w:rsid w:val="2D7693AC"/>
    <w:rsid w:val="2D8CB4D9"/>
    <w:rsid w:val="2DB04945"/>
    <w:rsid w:val="2DC60A67"/>
    <w:rsid w:val="2E086828"/>
    <w:rsid w:val="2E0EDC33"/>
    <w:rsid w:val="2E124DB1"/>
    <w:rsid w:val="2E226FE5"/>
    <w:rsid w:val="2E27030F"/>
    <w:rsid w:val="2E30946B"/>
    <w:rsid w:val="2E4F67AA"/>
    <w:rsid w:val="2E623FA2"/>
    <w:rsid w:val="2E624391"/>
    <w:rsid w:val="2E6A6D85"/>
    <w:rsid w:val="2E834E20"/>
    <w:rsid w:val="2E947A81"/>
    <w:rsid w:val="2EFD3855"/>
    <w:rsid w:val="2F12577F"/>
    <w:rsid w:val="2F16B46B"/>
    <w:rsid w:val="2F1A6879"/>
    <w:rsid w:val="2F3782A1"/>
    <w:rsid w:val="2F61DAC8"/>
    <w:rsid w:val="2F6B4AB3"/>
    <w:rsid w:val="2F83E551"/>
    <w:rsid w:val="2FAD71D2"/>
    <w:rsid w:val="2FF11A78"/>
    <w:rsid w:val="2FF7A2B8"/>
    <w:rsid w:val="30063DE6"/>
    <w:rsid w:val="30147DD3"/>
    <w:rsid w:val="30368C73"/>
    <w:rsid w:val="3066E7A3"/>
    <w:rsid w:val="309384C8"/>
    <w:rsid w:val="309BF0E4"/>
    <w:rsid w:val="30B49FE7"/>
    <w:rsid w:val="3116DDC6"/>
    <w:rsid w:val="313430B0"/>
    <w:rsid w:val="314008EA"/>
    <w:rsid w:val="3141BE98"/>
    <w:rsid w:val="315CC310"/>
    <w:rsid w:val="3178A17B"/>
    <w:rsid w:val="31A20E47"/>
    <w:rsid w:val="31BDB5DF"/>
    <w:rsid w:val="31C23241"/>
    <w:rsid w:val="31D616CA"/>
    <w:rsid w:val="31DE04ED"/>
    <w:rsid w:val="31EF51B0"/>
    <w:rsid w:val="320661EF"/>
    <w:rsid w:val="3229F0E5"/>
    <w:rsid w:val="32369CFB"/>
    <w:rsid w:val="323BA139"/>
    <w:rsid w:val="327AFA41"/>
    <w:rsid w:val="32A27DCF"/>
    <w:rsid w:val="32DBD94B"/>
    <w:rsid w:val="32E8C275"/>
    <w:rsid w:val="32E8DBD2"/>
    <w:rsid w:val="32EE0908"/>
    <w:rsid w:val="32EF179E"/>
    <w:rsid w:val="3333B55C"/>
    <w:rsid w:val="3344C47C"/>
    <w:rsid w:val="336AD584"/>
    <w:rsid w:val="3372B796"/>
    <w:rsid w:val="337ED2C7"/>
    <w:rsid w:val="33D0130A"/>
    <w:rsid w:val="34010C7B"/>
    <w:rsid w:val="342E5F04"/>
    <w:rsid w:val="3455155B"/>
    <w:rsid w:val="3477A9AC"/>
    <w:rsid w:val="34959E79"/>
    <w:rsid w:val="349976FC"/>
    <w:rsid w:val="34C41F2A"/>
    <w:rsid w:val="34E9E484"/>
    <w:rsid w:val="350AFBE8"/>
    <w:rsid w:val="352303B0"/>
    <w:rsid w:val="35988980"/>
    <w:rsid w:val="35A5A178"/>
    <w:rsid w:val="35E372F9"/>
    <w:rsid w:val="35FAD1FE"/>
    <w:rsid w:val="360DD88E"/>
    <w:rsid w:val="36319C30"/>
    <w:rsid w:val="36328625"/>
    <w:rsid w:val="36353C98"/>
    <w:rsid w:val="364773BB"/>
    <w:rsid w:val="36502079"/>
    <w:rsid w:val="36C9711B"/>
    <w:rsid w:val="36CA7BC5"/>
    <w:rsid w:val="370888C3"/>
    <w:rsid w:val="3725A35E"/>
    <w:rsid w:val="375232A8"/>
    <w:rsid w:val="375C67D0"/>
    <w:rsid w:val="378D4FBF"/>
    <w:rsid w:val="379C8042"/>
    <w:rsid w:val="37A0AA3D"/>
    <w:rsid w:val="37B9AD52"/>
    <w:rsid w:val="37BD31B0"/>
    <w:rsid w:val="37FD66CC"/>
    <w:rsid w:val="38243708"/>
    <w:rsid w:val="3891357A"/>
    <w:rsid w:val="38957E5C"/>
    <w:rsid w:val="38996549"/>
    <w:rsid w:val="38A45924"/>
    <w:rsid w:val="38A7A3B9"/>
    <w:rsid w:val="38B469F6"/>
    <w:rsid w:val="38E2265B"/>
    <w:rsid w:val="38F0545F"/>
    <w:rsid w:val="3942487D"/>
    <w:rsid w:val="3947AFB2"/>
    <w:rsid w:val="3955E9C8"/>
    <w:rsid w:val="3962D7FE"/>
    <w:rsid w:val="3963657D"/>
    <w:rsid w:val="396AED88"/>
    <w:rsid w:val="397F886F"/>
    <w:rsid w:val="398A78AB"/>
    <w:rsid w:val="39D489D1"/>
    <w:rsid w:val="39D6EB2A"/>
    <w:rsid w:val="39F59C2F"/>
    <w:rsid w:val="3A0038A5"/>
    <w:rsid w:val="3A03CF4A"/>
    <w:rsid w:val="3A11B926"/>
    <w:rsid w:val="3A8FFAE1"/>
    <w:rsid w:val="3A91CFF2"/>
    <w:rsid w:val="3AA84D2E"/>
    <w:rsid w:val="3AAAD704"/>
    <w:rsid w:val="3ADF0619"/>
    <w:rsid w:val="3B0D21FA"/>
    <w:rsid w:val="3B2A7258"/>
    <w:rsid w:val="3B37F2F2"/>
    <w:rsid w:val="3B3E3D9C"/>
    <w:rsid w:val="3B44526E"/>
    <w:rsid w:val="3B49C730"/>
    <w:rsid w:val="3B656C2A"/>
    <w:rsid w:val="3B806455"/>
    <w:rsid w:val="3B846A28"/>
    <w:rsid w:val="3B8CC53B"/>
    <w:rsid w:val="3BCFD35E"/>
    <w:rsid w:val="3BDFC324"/>
    <w:rsid w:val="3BE7F865"/>
    <w:rsid w:val="3BF72BDD"/>
    <w:rsid w:val="3C04C269"/>
    <w:rsid w:val="3C2C63CA"/>
    <w:rsid w:val="3C2F047E"/>
    <w:rsid w:val="3C359984"/>
    <w:rsid w:val="3C6EE263"/>
    <w:rsid w:val="3C811D8F"/>
    <w:rsid w:val="3C8DBA3F"/>
    <w:rsid w:val="3CA4622E"/>
    <w:rsid w:val="3CA47E1C"/>
    <w:rsid w:val="3CAC7667"/>
    <w:rsid w:val="3CC4ADED"/>
    <w:rsid w:val="3CD38617"/>
    <w:rsid w:val="3CE022CF"/>
    <w:rsid w:val="3D0741B8"/>
    <w:rsid w:val="3D62C746"/>
    <w:rsid w:val="3D87FE67"/>
    <w:rsid w:val="3D8DA730"/>
    <w:rsid w:val="3DD602B3"/>
    <w:rsid w:val="3DE63D7B"/>
    <w:rsid w:val="3DFC9143"/>
    <w:rsid w:val="3E07FB77"/>
    <w:rsid w:val="3E282749"/>
    <w:rsid w:val="3E404E7D"/>
    <w:rsid w:val="3E56A0FD"/>
    <w:rsid w:val="3E6F5678"/>
    <w:rsid w:val="3E8803A4"/>
    <w:rsid w:val="3E8C2925"/>
    <w:rsid w:val="3E8F74BA"/>
    <w:rsid w:val="3E98C9E7"/>
    <w:rsid w:val="3EA71D0E"/>
    <w:rsid w:val="3ED51751"/>
    <w:rsid w:val="3F1AC80F"/>
    <w:rsid w:val="3F5A97CB"/>
    <w:rsid w:val="3F5B66F1"/>
    <w:rsid w:val="3FE41729"/>
    <w:rsid w:val="3FEE72A7"/>
    <w:rsid w:val="40019B24"/>
    <w:rsid w:val="40349A48"/>
    <w:rsid w:val="40678E45"/>
    <w:rsid w:val="4094DAEF"/>
    <w:rsid w:val="40A03575"/>
    <w:rsid w:val="40AA6C60"/>
    <w:rsid w:val="40EC2679"/>
    <w:rsid w:val="4135FB49"/>
    <w:rsid w:val="41449CB3"/>
    <w:rsid w:val="415B5A84"/>
    <w:rsid w:val="415EF88F"/>
    <w:rsid w:val="4169A71C"/>
    <w:rsid w:val="419D6B85"/>
    <w:rsid w:val="41C34A0D"/>
    <w:rsid w:val="4213555D"/>
    <w:rsid w:val="421BE45B"/>
    <w:rsid w:val="42206D53"/>
    <w:rsid w:val="423DB022"/>
    <w:rsid w:val="424B3B6A"/>
    <w:rsid w:val="4276C536"/>
    <w:rsid w:val="429E647D"/>
    <w:rsid w:val="42A1D9F0"/>
    <w:rsid w:val="42C3B7E0"/>
    <w:rsid w:val="42CC7D0C"/>
    <w:rsid w:val="42E303A8"/>
    <w:rsid w:val="42E45408"/>
    <w:rsid w:val="42E97D92"/>
    <w:rsid w:val="42EBA920"/>
    <w:rsid w:val="4304F870"/>
    <w:rsid w:val="4311D090"/>
    <w:rsid w:val="431BB7EB"/>
    <w:rsid w:val="4342C79B"/>
    <w:rsid w:val="4356CDBC"/>
    <w:rsid w:val="435E396C"/>
    <w:rsid w:val="4362570A"/>
    <w:rsid w:val="439F2F07"/>
    <w:rsid w:val="43A69F0B"/>
    <w:rsid w:val="43AF25BE"/>
    <w:rsid w:val="43BA891B"/>
    <w:rsid w:val="43D00E7D"/>
    <w:rsid w:val="43F8FBD6"/>
    <w:rsid w:val="43FB95A0"/>
    <w:rsid w:val="44112731"/>
    <w:rsid w:val="443D5C54"/>
    <w:rsid w:val="44609DA2"/>
    <w:rsid w:val="44785442"/>
    <w:rsid w:val="4495BAFC"/>
    <w:rsid w:val="449B7AB4"/>
    <w:rsid w:val="44A6D8AA"/>
    <w:rsid w:val="44A6E453"/>
    <w:rsid w:val="44B7A69B"/>
    <w:rsid w:val="44C1E3CA"/>
    <w:rsid w:val="44C9ECFB"/>
    <w:rsid w:val="44F80CD3"/>
    <w:rsid w:val="45055CA7"/>
    <w:rsid w:val="450A5535"/>
    <w:rsid w:val="45634C15"/>
    <w:rsid w:val="4564B526"/>
    <w:rsid w:val="4572066F"/>
    <w:rsid w:val="45753C94"/>
    <w:rsid w:val="45A6F0BE"/>
    <w:rsid w:val="45BB2E0D"/>
    <w:rsid w:val="45C85E8D"/>
    <w:rsid w:val="45DA9B0E"/>
    <w:rsid w:val="45F98AEB"/>
    <w:rsid w:val="46325B58"/>
    <w:rsid w:val="46374ED9"/>
    <w:rsid w:val="4664D190"/>
    <w:rsid w:val="466799EF"/>
    <w:rsid w:val="46753D31"/>
    <w:rsid w:val="46AE5A99"/>
    <w:rsid w:val="46BEA8E6"/>
    <w:rsid w:val="46CC8A04"/>
    <w:rsid w:val="46CD4142"/>
    <w:rsid w:val="46D389EA"/>
    <w:rsid w:val="46F82D55"/>
    <w:rsid w:val="473792AF"/>
    <w:rsid w:val="473B7B1D"/>
    <w:rsid w:val="4779B86F"/>
    <w:rsid w:val="4779C29D"/>
    <w:rsid w:val="47B0807B"/>
    <w:rsid w:val="47CF050E"/>
    <w:rsid w:val="47DD074E"/>
    <w:rsid w:val="48077B62"/>
    <w:rsid w:val="480ED1E1"/>
    <w:rsid w:val="482C3336"/>
    <w:rsid w:val="48309F49"/>
    <w:rsid w:val="484F4ACF"/>
    <w:rsid w:val="4869304A"/>
    <w:rsid w:val="48708DD1"/>
    <w:rsid w:val="487E3BF5"/>
    <w:rsid w:val="4891C753"/>
    <w:rsid w:val="48975D83"/>
    <w:rsid w:val="48AEE114"/>
    <w:rsid w:val="48B025BC"/>
    <w:rsid w:val="48B57E45"/>
    <w:rsid w:val="48B5C4F7"/>
    <w:rsid w:val="48C7DF1D"/>
    <w:rsid w:val="48E99344"/>
    <w:rsid w:val="492E285D"/>
    <w:rsid w:val="49638A6B"/>
    <w:rsid w:val="49680A76"/>
    <w:rsid w:val="499E1666"/>
    <w:rsid w:val="49B1449E"/>
    <w:rsid w:val="49BFC2B9"/>
    <w:rsid w:val="49E99932"/>
    <w:rsid w:val="4A0BF8DA"/>
    <w:rsid w:val="4A27DB21"/>
    <w:rsid w:val="4A4AB175"/>
    <w:rsid w:val="4A64B164"/>
    <w:rsid w:val="4A74A766"/>
    <w:rsid w:val="4A94E3D4"/>
    <w:rsid w:val="4AA4C460"/>
    <w:rsid w:val="4ADEBEA4"/>
    <w:rsid w:val="4AE52962"/>
    <w:rsid w:val="4B010071"/>
    <w:rsid w:val="4B0BEF10"/>
    <w:rsid w:val="4B1A933B"/>
    <w:rsid w:val="4B26C9D0"/>
    <w:rsid w:val="4B3B0086"/>
    <w:rsid w:val="4B3D8BE1"/>
    <w:rsid w:val="4B6A7D40"/>
    <w:rsid w:val="4BABCB69"/>
    <w:rsid w:val="4BED1F07"/>
    <w:rsid w:val="4C364A01"/>
    <w:rsid w:val="4C4EB2F0"/>
    <w:rsid w:val="4C65C298"/>
    <w:rsid w:val="4C7C257D"/>
    <w:rsid w:val="4C92717E"/>
    <w:rsid w:val="4CDAEC85"/>
    <w:rsid w:val="4D2ADD03"/>
    <w:rsid w:val="4D35000B"/>
    <w:rsid w:val="4D7B3D1B"/>
    <w:rsid w:val="4D7CF0A3"/>
    <w:rsid w:val="4D95F0C7"/>
    <w:rsid w:val="4DAAB9F5"/>
    <w:rsid w:val="4DCC8496"/>
    <w:rsid w:val="4DDC6522"/>
    <w:rsid w:val="4DF009DD"/>
    <w:rsid w:val="4E253E1E"/>
    <w:rsid w:val="4E315F09"/>
    <w:rsid w:val="4E361EE6"/>
    <w:rsid w:val="4E44EAC4"/>
    <w:rsid w:val="4E576E93"/>
    <w:rsid w:val="4E76BCE6"/>
    <w:rsid w:val="4EA64CEF"/>
    <w:rsid w:val="4EBBCC9D"/>
    <w:rsid w:val="4EC1B9D5"/>
    <w:rsid w:val="4ECC5ADE"/>
    <w:rsid w:val="4ECFE8B8"/>
    <w:rsid w:val="4EF3302B"/>
    <w:rsid w:val="4F0B976C"/>
    <w:rsid w:val="4F113A1A"/>
    <w:rsid w:val="4F18839B"/>
    <w:rsid w:val="4F27A373"/>
    <w:rsid w:val="4F470D9A"/>
    <w:rsid w:val="4F5417C0"/>
    <w:rsid w:val="4F6854F7"/>
    <w:rsid w:val="4F76A968"/>
    <w:rsid w:val="4FA4401C"/>
    <w:rsid w:val="4FD53C12"/>
    <w:rsid w:val="4FDE224B"/>
    <w:rsid w:val="4FDF5B9C"/>
    <w:rsid w:val="4FE39620"/>
    <w:rsid w:val="500D0297"/>
    <w:rsid w:val="50421D50"/>
    <w:rsid w:val="5055B822"/>
    <w:rsid w:val="509B2B9F"/>
    <w:rsid w:val="509E78B4"/>
    <w:rsid w:val="50DBA2A0"/>
    <w:rsid w:val="512A81E5"/>
    <w:rsid w:val="5143F0FB"/>
    <w:rsid w:val="51524355"/>
    <w:rsid w:val="51622D4E"/>
    <w:rsid w:val="516A0F60"/>
    <w:rsid w:val="516C58ED"/>
    <w:rsid w:val="518F0F55"/>
    <w:rsid w:val="51BB7CD5"/>
    <w:rsid w:val="51FF9194"/>
    <w:rsid w:val="520A28D5"/>
    <w:rsid w:val="522A07DD"/>
    <w:rsid w:val="52531013"/>
    <w:rsid w:val="526C9DBD"/>
    <w:rsid w:val="527DBFC4"/>
    <w:rsid w:val="5285AFA2"/>
    <w:rsid w:val="528E76A5"/>
    <w:rsid w:val="52D06EC1"/>
    <w:rsid w:val="52E46A0C"/>
    <w:rsid w:val="52EBCB33"/>
    <w:rsid w:val="530AC1C9"/>
    <w:rsid w:val="5339533A"/>
    <w:rsid w:val="5375BE12"/>
    <w:rsid w:val="53811420"/>
    <w:rsid w:val="539ED7E8"/>
    <w:rsid w:val="53D663C9"/>
    <w:rsid w:val="541321F1"/>
    <w:rsid w:val="541C0D9E"/>
    <w:rsid w:val="542A53D7"/>
    <w:rsid w:val="54682BF7"/>
    <w:rsid w:val="546EC0A2"/>
    <w:rsid w:val="547FDE68"/>
    <w:rsid w:val="54ACC811"/>
    <w:rsid w:val="54BCBF59"/>
    <w:rsid w:val="54C4CC0E"/>
    <w:rsid w:val="54F93C1E"/>
    <w:rsid w:val="553B2E30"/>
    <w:rsid w:val="553B889E"/>
    <w:rsid w:val="5592C455"/>
    <w:rsid w:val="559922FB"/>
    <w:rsid w:val="55B42091"/>
    <w:rsid w:val="55F7F3A5"/>
    <w:rsid w:val="5608A243"/>
    <w:rsid w:val="561E97B6"/>
    <w:rsid w:val="563A9236"/>
    <w:rsid w:val="563BB47F"/>
    <w:rsid w:val="56739A8C"/>
    <w:rsid w:val="5692D7CC"/>
    <w:rsid w:val="569C630F"/>
    <w:rsid w:val="56E3F0CE"/>
    <w:rsid w:val="56F7AFD5"/>
    <w:rsid w:val="56FD55F9"/>
    <w:rsid w:val="570C5276"/>
    <w:rsid w:val="570E0224"/>
    <w:rsid w:val="5724513F"/>
    <w:rsid w:val="574FF0F2"/>
    <w:rsid w:val="57B922E7"/>
    <w:rsid w:val="57D339EB"/>
    <w:rsid w:val="57D784E0"/>
    <w:rsid w:val="57DEA42D"/>
    <w:rsid w:val="57F0D670"/>
    <w:rsid w:val="58082D4E"/>
    <w:rsid w:val="580F6AED"/>
    <w:rsid w:val="5830B481"/>
    <w:rsid w:val="5896E243"/>
    <w:rsid w:val="58EBC153"/>
    <w:rsid w:val="591FE653"/>
    <w:rsid w:val="592DD915"/>
    <w:rsid w:val="593B9D1A"/>
    <w:rsid w:val="5943851E"/>
    <w:rsid w:val="594C6028"/>
    <w:rsid w:val="596EEBC9"/>
    <w:rsid w:val="599F93F0"/>
    <w:rsid w:val="59D7754A"/>
    <w:rsid w:val="59E8981E"/>
    <w:rsid w:val="5A26F231"/>
    <w:rsid w:val="5A2A2523"/>
    <w:rsid w:val="5A2C2269"/>
    <w:rsid w:val="5A5966F3"/>
    <w:rsid w:val="5A8BEAC7"/>
    <w:rsid w:val="5AD76D7B"/>
    <w:rsid w:val="5ADFFD3E"/>
    <w:rsid w:val="5AE6356F"/>
    <w:rsid w:val="5AFF2EEB"/>
    <w:rsid w:val="5B24B720"/>
    <w:rsid w:val="5B271C78"/>
    <w:rsid w:val="5B3F5D59"/>
    <w:rsid w:val="5B4936BE"/>
    <w:rsid w:val="5B64A0DB"/>
    <w:rsid w:val="5BA0D944"/>
    <w:rsid w:val="5BA1C494"/>
    <w:rsid w:val="5BACDF20"/>
    <w:rsid w:val="5BB2BCEC"/>
    <w:rsid w:val="5BD2DD75"/>
    <w:rsid w:val="5C0F8FE5"/>
    <w:rsid w:val="5C27BB28"/>
    <w:rsid w:val="5C350C2B"/>
    <w:rsid w:val="5C5C7DE6"/>
    <w:rsid w:val="5C6271D8"/>
    <w:rsid w:val="5C676456"/>
    <w:rsid w:val="5C7E903C"/>
    <w:rsid w:val="5C8D9488"/>
    <w:rsid w:val="5CB3767A"/>
    <w:rsid w:val="5CE7A285"/>
    <w:rsid w:val="5CE950FB"/>
    <w:rsid w:val="5CF16044"/>
    <w:rsid w:val="5D16F20E"/>
    <w:rsid w:val="5D44EFF8"/>
    <w:rsid w:val="5D77CCFC"/>
    <w:rsid w:val="5DA362D0"/>
    <w:rsid w:val="5DA60A19"/>
    <w:rsid w:val="5DE4D342"/>
    <w:rsid w:val="5DE927DE"/>
    <w:rsid w:val="5E110B57"/>
    <w:rsid w:val="5E183581"/>
    <w:rsid w:val="5E30C65D"/>
    <w:rsid w:val="5E534B1D"/>
    <w:rsid w:val="5E619F2B"/>
    <w:rsid w:val="5E79ADC8"/>
    <w:rsid w:val="5E9FD784"/>
    <w:rsid w:val="5F042E64"/>
    <w:rsid w:val="5F0EAEBB"/>
    <w:rsid w:val="5F6029AB"/>
    <w:rsid w:val="5F76357D"/>
    <w:rsid w:val="5FD47FF2"/>
    <w:rsid w:val="5FDFFC5E"/>
    <w:rsid w:val="5FE612E3"/>
    <w:rsid w:val="60105E2A"/>
    <w:rsid w:val="602213CF"/>
    <w:rsid w:val="606DA5E5"/>
    <w:rsid w:val="607E1E3A"/>
    <w:rsid w:val="6095FF3B"/>
    <w:rsid w:val="609BBE74"/>
    <w:rsid w:val="60B98F5B"/>
    <w:rsid w:val="60BB47D4"/>
    <w:rsid w:val="610980BA"/>
    <w:rsid w:val="611393AC"/>
    <w:rsid w:val="617F79C2"/>
    <w:rsid w:val="619F79CB"/>
    <w:rsid w:val="61B6E06F"/>
    <w:rsid w:val="61BB7D61"/>
    <w:rsid w:val="61CCFDAE"/>
    <w:rsid w:val="6217809D"/>
    <w:rsid w:val="6217C583"/>
    <w:rsid w:val="621C3699"/>
    <w:rsid w:val="62378ED5"/>
    <w:rsid w:val="6251856F"/>
    <w:rsid w:val="62691FDE"/>
    <w:rsid w:val="627C3C44"/>
    <w:rsid w:val="628A585E"/>
    <w:rsid w:val="628CE122"/>
    <w:rsid w:val="62C15FF8"/>
    <w:rsid w:val="62D54EE2"/>
    <w:rsid w:val="630763BA"/>
    <w:rsid w:val="633BB116"/>
    <w:rsid w:val="633CD508"/>
    <w:rsid w:val="6344ABFB"/>
    <w:rsid w:val="635E2D28"/>
    <w:rsid w:val="63616157"/>
    <w:rsid w:val="63868D1F"/>
    <w:rsid w:val="639EF9F2"/>
    <w:rsid w:val="63C05F63"/>
    <w:rsid w:val="63CCCECD"/>
    <w:rsid w:val="63E07732"/>
    <w:rsid w:val="6402F76E"/>
    <w:rsid w:val="6407AE4D"/>
    <w:rsid w:val="6417CE08"/>
    <w:rsid w:val="6419216C"/>
    <w:rsid w:val="6419EC5C"/>
    <w:rsid w:val="642F1861"/>
    <w:rsid w:val="643AEC69"/>
    <w:rsid w:val="643E907F"/>
    <w:rsid w:val="644D5415"/>
    <w:rsid w:val="645B6B78"/>
    <w:rsid w:val="647D5917"/>
    <w:rsid w:val="64B11B2D"/>
    <w:rsid w:val="64BCC073"/>
    <w:rsid w:val="64D14626"/>
    <w:rsid w:val="64E700B3"/>
    <w:rsid w:val="655D432F"/>
    <w:rsid w:val="65696816"/>
    <w:rsid w:val="65C563E1"/>
    <w:rsid w:val="65E57A26"/>
    <w:rsid w:val="65F333C0"/>
    <w:rsid w:val="661B848C"/>
    <w:rsid w:val="661F642B"/>
    <w:rsid w:val="662F2C36"/>
    <w:rsid w:val="66C4974E"/>
    <w:rsid w:val="66E17D38"/>
    <w:rsid w:val="670B47CC"/>
    <w:rsid w:val="67125EF7"/>
    <w:rsid w:val="6722BBFC"/>
    <w:rsid w:val="67287E73"/>
    <w:rsid w:val="673EFDF2"/>
    <w:rsid w:val="674E29B0"/>
    <w:rsid w:val="6750A569"/>
    <w:rsid w:val="676C6735"/>
    <w:rsid w:val="677F6C38"/>
    <w:rsid w:val="67BDDE09"/>
    <w:rsid w:val="67BE9286"/>
    <w:rsid w:val="67E0F0FC"/>
    <w:rsid w:val="6815871A"/>
    <w:rsid w:val="6820FA65"/>
    <w:rsid w:val="6891E027"/>
    <w:rsid w:val="6896F36D"/>
    <w:rsid w:val="68B2D5A4"/>
    <w:rsid w:val="68EF0F39"/>
    <w:rsid w:val="68F06A76"/>
    <w:rsid w:val="6907FD79"/>
    <w:rsid w:val="69132FF9"/>
    <w:rsid w:val="69571321"/>
    <w:rsid w:val="696C4C0E"/>
    <w:rsid w:val="698F4990"/>
    <w:rsid w:val="69A14979"/>
    <w:rsid w:val="69C9410B"/>
    <w:rsid w:val="69C94C9E"/>
    <w:rsid w:val="69E932C0"/>
    <w:rsid w:val="69F0C7E0"/>
    <w:rsid w:val="69F17E0A"/>
    <w:rsid w:val="6A191DFA"/>
    <w:rsid w:val="6A38DCB4"/>
    <w:rsid w:val="6A4583D7"/>
    <w:rsid w:val="6A508039"/>
    <w:rsid w:val="6A674540"/>
    <w:rsid w:val="6A72BB90"/>
    <w:rsid w:val="6A79A0BF"/>
    <w:rsid w:val="6AA077EA"/>
    <w:rsid w:val="6AAA2DED"/>
    <w:rsid w:val="6AAADA6E"/>
    <w:rsid w:val="6AB79F86"/>
    <w:rsid w:val="6ACAA00F"/>
    <w:rsid w:val="6AE43861"/>
    <w:rsid w:val="6AFB77B4"/>
    <w:rsid w:val="6AFC9BDD"/>
    <w:rsid w:val="6B3D19DA"/>
    <w:rsid w:val="6B68217C"/>
    <w:rsid w:val="6BD13CBE"/>
    <w:rsid w:val="6BFE12A9"/>
    <w:rsid w:val="6C238511"/>
    <w:rsid w:val="6C759746"/>
    <w:rsid w:val="6C8B2ADF"/>
    <w:rsid w:val="6CC74082"/>
    <w:rsid w:val="6CD52752"/>
    <w:rsid w:val="6CE7C503"/>
    <w:rsid w:val="6CF58F04"/>
    <w:rsid w:val="6D142075"/>
    <w:rsid w:val="6D1765C4"/>
    <w:rsid w:val="6D25923A"/>
    <w:rsid w:val="6D2A20A9"/>
    <w:rsid w:val="6D302687"/>
    <w:rsid w:val="6D8A8A9F"/>
    <w:rsid w:val="6DC22EC9"/>
    <w:rsid w:val="6DC2805C"/>
    <w:rsid w:val="6DE127E4"/>
    <w:rsid w:val="6DE19CD9"/>
    <w:rsid w:val="6DFC8038"/>
    <w:rsid w:val="6E080B6F"/>
    <w:rsid w:val="6E0AB1FB"/>
    <w:rsid w:val="6E228CD3"/>
    <w:rsid w:val="6E3E6D70"/>
    <w:rsid w:val="6E458866"/>
    <w:rsid w:val="6E64F075"/>
    <w:rsid w:val="6E76CA9A"/>
    <w:rsid w:val="6E801895"/>
    <w:rsid w:val="6E839564"/>
    <w:rsid w:val="6E8DC1F5"/>
    <w:rsid w:val="6E95D71E"/>
    <w:rsid w:val="6F08DD80"/>
    <w:rsid w:val="6F1DFF63"/>
    <w:rsid w:val="6F2DF712"/>
    <w:rsid w:val="6F4E6459"/>
    <w:rsid w:val="6F5FEBCA"/>
    <w:rsid w:val="6F7E4B91"/>
    <w:rsid w:val="6F9449F2"/>
    <w:rsid w:val="6F9A0CDB"/>
    <w:rsid w:val="6FB3DA01"/>
    <w:rsid w:val="6FBE77C5"/>
    <w:rsid w:val="6FC36AB3"/>
    <w:rsid w:val="6FFB4679"/>
    <w:rsid w:val="702D855F"/>
    <w:rsid w:val="7041D529"/>
    <w:rsid w:val="704A67DD"/>
    <w:rsid w:val="706DF527"/>
    <w:rsid w:val="7099B55F"/>
    <w:rsid w:val="709CF20C"/>
    <w:rsid w:val="70A9BE45"/>
    <w:rsid w:val="70AB1252"/>
    <w:rsid w:val="70F03430"/>
    <w:rsid w:val="70F85581"/>
    <w:rsid w:val="70FA211E"/>
    <w:rsid w:val="71136621"/>
    <w:rsid w:val="711B3497"/>
    <w:rsid w:val="714468F4"/>
    <w:rsid w:val="71495BD0"/>
    <w:rsid w:val="714C3546"/>
    <w:rsid w:val="714ECCA5"/>
    <w:rsid w:val="718A4B7F"/>
    <w:rsid w:val="719D6C60"/>
    <w:rsid w:val="71CBD327"/>
    <w:rsid w:val="71D45E83"/>
    <w:rsid w:val="71E28781"/>
    <w:rsid w:val="720FBAB5"/>
    <w:rsid w:val="7214E978"/>
    <w:rsid w:val="721BEDBE"/>
    <w:rsid w:val="7230D4E7"/>
    <w:rsid w:val="723FFD22"/>
    <w:rsid w:val="72410C4C"/>
    <w:rsid w:val="7283BA5C"/>
    <w:rsid w:val="72846EA7"/>
    <w:rsid w:val="7298BB00"/>
    <w:rsid w:val="72B1B61A"/>
    <w:rsid w:val="72B50DFC"/>
    <w:rsid w:val="72CBEAB4"/>
    <w:rsid w:val="72D58EF5"/>
    <w:rsid w:val="72D76B7C"/>
    <w:rsid w:val="730090B0"/>
    <w:rsid w:val="73389DAD"/>
    <w:rsid w:val="73570687"/>
    <w:rsid w:val="736F8FC9"/>
    <w:rsid w:val="73E5EF8D"/>
    <w:rsid w:val="73F51994"/>
    <w:rsid w:val="740202D2"/>
    <w:rsid w:val="74140D24"/>
    <w:rsid w:val="7467BB15"/>
    <w:rsid w:val="7480A92B"/>
    <w:rsid w:val="74924910"/>
    <w:rsid w:val="74A8FDB0"/>
    <w:rsid w:val="74E0CB4D"/>
    <w:rsid w:val="752D7AB5"/>
    <w:rsid w:val="754A7AF7"/>
    <w:rsid w:val="756485B5"/>
    <w:rsid w:val="75705EA3"/>
    <w:rsid w:val="75CA6B6F"/>
    <w:rsid w:val="75E474E0"/>
    <w:rsid w:val="75E543AD"/>
    <w:rsid w:val="75FE604A"/>
    <w:rsid w:val="7604C034"/>
    <w:rsid w:val="761C798C"/>
    <w:rsid w:val="76C065ED"/>
    <w:rsid w:val="76E5F895"/>
    <w:rsid w:val="76F70A9A"/>
    <w:rsid w:val="77191B19"/>
    <w:rsid w:val="773D567A"/>
    <w:rsid w:val="773EF493"/>
    <w:rsid w:val="774296A9"/>
    <w:rsid w:val="774A8493"/>
    <w:rsid w:val="77909E7B"/>
    <w:rsid w:val="7798806E"/>
    <w:rsid w:val="77A51A56"/>
    <w:rsid w:val="77B59E33"/>
    <w:rsid w:val="77B9E3FF"/>
    <w:rsid w:val="77BB8F8B"/>
    <w:rsid w:val="77ED87FA"/>
    <w:rsid w:val="7816AFEB"/>
    <w:rsid w:val="78349DA5"/>
    <w:rsid w:val="783EE810"/>
    <w:rsid w:val="78681DA6"/>
    <w:rsid w:val="788107F8"/>
    <w:rsid w:val="78A803F1"/>
    <w:rsid w:val="78D9C41E"/>
    <w:rsid w:val="792BA575"/>
    <w:rsid w:val="79369248"/>
    <w:rsid w:val="793916E6"/>
    <w:rsid w:val="796E0BF9"/>
    <w:rsid w:val="79712DF7"/>
    <w:rsid w:val="7982FF1F"/>
    <w:rsid w:val="7990F693"/>
    <w:rsid w:val="79CCAD50"/>
    <w:rsid w:val="79D2F432"/>
    <w:rsid w:val="79FC6D63"/>
    <w:rsid w:val="7A1E06ED"/>
    <w:rsid w:val="7A329525"/>
    <w:rsid w:val="7A3EEF6C"/>
    <w:rsid w:val="7A4FC6D7"/>
    <w:rsid w:val="7A643764"/>
    <w:rsid w:val="7A66450B"/>
    <w:rsid w:val="7A7151C5"/>
    <w:rsid w:val="7A924313"/>
    <w:rsid w:val="7AA1200A"/>
    <w:rsid w:val="7ABE360C"/>
    <w:rsid w:val="7AC1DAE3"/>
    <w:rsid w:val="7AC51A4F"/>
    <w:rsid w:val="7AD1ADBF"/>
    <w:rsid w:val="7B20CDE8"/>
    <w:rsid w:val="7B21D19C"/>
    <w:rsid w:val="7B274464"/>
    <w:rsid w:val="7B2F10FB"/>
    <w:rsid w:val="7B3595BC"/>
    <w:rsid w:val="7B5FE0A4"/>
    <w:rsid w:val="7B84C56B"/>
    <w:rsid w:val="7BCA90A9"/>
    <w:rsid w:val="7C39B82A"/>
    <w:rsid w:val="7C4AB222"/>
    <w:rsid w:val="7C60F926"/>
    <w:rsid w:val="7C9846F5"/>
    <w:rsid w:val="7CA116EC"/>
    <w:rsid w:val="7CAEE00C"/>
    <w:rsid w:val="7CD596A6"/>
    <w:rsid w:val="7CDF0F78"/>
    <w:rsid w:val="7CE1886D"/>
    <w:rsid w:val="7D074F37"/>
    <w:rsid w:val="7D219C3A"/>
    <w:rsid w:val="7D2CE8D5"/>
    <w:rsid w:val="7D457A0A"/>
    <w:rsid w:val="7D4C5870"/>
    <w:rsid w:val="7D4D36A9"/>
    <w:rsid w:val="7D54791B"/>
    <w:rsid w:val="7D8546FC"/>
    <w:rsid w:val="7D915E62"/>
    <w:rsid w:val="7DE49606"/>
    <w:rsid w:val="7DFA0FDB"/>
    <w:rsid w:val="7DFF7CFC"/>
    <w:rsid w:val="7E11D1AB"/>
    <w:rsid w:val="7E2DDCA5"/>
    <w:rsid w:val="7E303337"/>
    <w:rsid w:val="7E59D33C"/>
    <w:rsid w:val="7E7A2A9E"/>
    <w:rsid w:val="7E9ACC7A"/>
    <w:rsid w:val="7EA3205D"/>
    <w:rsid w:val="7EC8A82D"/>
    <w:rsid w:val="7EF2CC75"/>
    <w:rsid w:val="7F0F1B8B"/>
    <w:rsid w:val="7F1DDDED"/>
    <w:rsid w:val="7F38794B"/>
    <w:rsid w:val="7F561FD8"/>
    <w:rsid w:val="7F6578FC"/>
    <w:rsid w:val="7F86C78E"/>
    <w:rsid w:val="7FAC8247"/>
    <w:rsid w:val="7FAF5B0E"/>
    <w:rsid w:val="7FD187DC"/>
    <w:rsid w:val="7FE27B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D383"/>
  <w15:docId w15:val="{B3DE7E5A-6F3C-4AC2-92CC-DC0299C7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en-US"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qFormat="1"/>
    <w:lsdException w:name="caption" w:uiPriority="35" w:qFormat="1"/>
    <w:lsdException w:name="envelope address" w:qFormat="1"/>
    <w:lsdException w:name="envelope return" w:qFormat="1"/>
    <w:lsdException w:name="endnote text" w:qFormat="1"/>
    <w:lsdException w:name="toa heading" w:qFormat="1"/>
    <w:lsdException w:name="Title" w:uiPriority="10" w:qFormat="1"/>
    <w:lsdException w:name="Default Paragraph Font" w:uiPriority="1"/>
    <w:lsdException w:name="Body Text" w:uiPriority="1" w:qFormat="1"/>
    <w:lsdException w:name="Message Header" w:qFormat="1"/>
    <w:lsdException w:name="Subtitle" w:uiPriority="11" w:qFormat="1"/>
    <w:lsdException w:name="Body Text 2" w:qFormat="1"/>
    <w:lsdException w:name="Body Text 3" w:qFormat="1"/>
    <w:lsdException w:name="Body Text Indent 3" w:qFormat="1"/>
    <w:lsdException w:name="Block Text" w:qFormat="1"/>
    <w:lsdException w:name="Strong" w:uiPriority="22" w:qFormat="1"/>
    <w:lsdException w:name="Emphasis" w:uiPriority="20" w:qFormat="1"/>
    <w:lsdException w:name="Document Map" w:qFormat="1"/>
    <w:lsdException w:name="Normal (Web)" w:qFormat="1"/>
    <w:lsdException w:name="HTML Address" w:qFormat="1"/>
    <w:lsdException w:name="HTML Keyboard"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5D5"/>
    <w:rPr>
      <w:rFonts w:ascii="Avenir LT Std 55 Roman" w:hAnsi="Avenir LT Std 55 Roman"/>
      <w:sz w:val="24"/>
      <w:szCs w:val="24"/>
    </w:rPr>
  </w:style>
  <w:style w:type="paragraph" w:styleId="Heading1">
    <w:name w:val="heading 1"/>
    <w:basedOn w:val="Normal"/>
    <w:next w:val="Normal"/>
    <w:link w:val="Heading1Char"/>
    <w:uiPriority w:val="9"/>
    <w:qFormat/>
    <w:rsid w:val="00D765D5"/>
    <w:pPr>
      <w:keepNext/>
      <w:keepLines/>
      <w:pBdr>
        <w:top w:val="nil"/>
        <w:left w:val="nil"/>
        <w:bottom w:val="nil"/>
        <w:right w:val="nil"/>
        <w:between w:val="nil"/>
      </w:pBdr>
      <w:spacing w:before="240" w:after="240"/>
      <w:outlineLvl w:val="0"/>
    </w:pPr>
    <w:rPr>
      <w:rFonts w:eastAsia="Times New Roman"/>
      <w:b/>
      <w:bCs/>
      <w:color w:val="1F8BBF"/>
      <w:sz w:val="32"/>
      <w:szCs w:val="32"/>
    </w:rPr>
  </w:style>
  <w:style w:type="paragraph" w:styleId="Heading2">
    <w:name w:val="heading 2"/>
    <w:basedOn w:val="Normal"/>
    <w:next w:val="Normal"/>
    <w:link w:val="Heading2Char"/>
    <w:uiPriority w:val="9"/>
    <w:qFormat/>
    <w:rsid w:val="00D765D5"/>
    <w:pPr>
      <w:keepNext/>
      <w:keepLines/>
      <w:spacing w:before="240" w:after="240"/>
      <w:outlineLvl w:val="1"/>
    </w:pPr>
    <w:rPr>
      <w:rFonts w:eastAsia="Times New Roman"/>
      <w:b/>
      <w:color w:val="36A393"/>
      <w:sz w:val="30"/>
      <w:szCs w:val="26"/>
    </w:rPr>
  </w:style>
  <w:style w:type="paragraph" w:styleId="Heading3">
    <w:name w:val="heading 3"/>
    <w:basedOn w:val="Normal"/>
    <w:next w:val="Normal"/>
    <w:link w:val="Heading3Char"/>
    <w:uiPriority w:val="9"/>
    <w:qFormat/>
    <w:rsid w:val="00D765D5"/>
    <w:pPr>
      <w:keepNext/>
      <w:keepLines/>
      <w:outlineLvl w:val="2"/>
    </w:pPr>
    <w:rPr>
      <w:rFonts w:eastAsia="Times New Roman"/>
      <w:b/>
      <w:color w:val="0F5A7C"/>
      <w:sz w:val="28"/>
    </w:rPr>
  </w:style>
  <w:style w:type="paragraph" w:styleId="Heading4">
    <w:name w:val="heading 4"/>
    <w:basedOn w:val="Normal"/>
    <w:next w:val="Normal"/>
    <w:link w:val="Heading4Char"/>
    <w:uiPriority w:val="9"/>
    <w:qFormat/>
    <w:rsid w:val="00D765D5"/>
    <w:pPr>
      <w:keepNext/>
      <w:keepLines/>
      <w:outlineLvl w:val="3"/>
    </w:pPr>
    <w:rPr>
      <w:rFonts w:eastAsia="Times New Roman"/>
      <w:b/>
      <w:iCs/>
      <w:color w:val="4D4D4F"/>
      <w:sz w:val="26"/>
    </w:rPr>
  </w:style>
  <w:style w:type="paragraph" w:styleId="Heading5">
    <w:name w:val="heading 5"/>
    <w:basedOn w:val="Normal"/>
    <w:next w:val="Normal"/>
    <w:link w:val="Heading5Char"/>
    <w:uiPriority w:val="9"/>
    <w:qFormat/>
    <w:rsid w:val="00D765D5"/>
    <w:pPr>
      <w:keepNext/>
      <w:keepLines/>
      <w:outlineLvl w:val="4"/>
    </w:pPr>
    <w:rPr>
      <w:rFonts w:eastAsia="Times New Roman"/>
      <w:b/>
      <w:color w:val="000000"/>
    </w:rPr>
  </w:style>
  <w:style w:type="paragraph" w:styleId="Heading6">
    <w:name w:val="heading 6"/>
    <w:basedOn w:val="Normal"/>
    <w:next w:val="Normal"/>
    <w:link w:val="Heading6Char"/>
    <w:uiPriority w:val="9"/>
    <w:qFormat/>
    <w:rsid w:val="00D765D5"/>
    <w:pPr>
      <w:keepNext/>
      <w:keepLines/>
      <w:spacing w:before="40"/>
      <w:outlineLvl w:val="5"/>
    </w:pPr>
    <w:rPr>
      <w:rFonts w:eastAsia="Times New Roman"/>
      <w:b/>
      <w:color w:val="1A1918"/>
    </w:rPr>
  </w:style>
  <w:style w:type="paragraph" w:styleId="Heading7">
    <w:name w:val="heading 7"/>
    <w:basedOn w:val="Normal"/>
    <w:next w:val="Normal"/>
    <w:link w:val="Heading7Char"/>
    <w:uiPriority w:val="9"/>
    <w:qFormat/>
    <w:rsid w:val="00D765D5"/>
    <w:pPr>
      <w:keepNext/>
      <w:keepLines/>
      <w:spacing w:before="40" w:after="0"/>
      <w:outlineLvl w:val="6"/>
    </w:pPr>
    <w:rPr>
      <w:rFonts w:ascii="Avenir LT Std 65 Medium" w:eastAsia="Times New Roman" w:hAnsi="Avenir LT Std 65 Medium"/>
      <w:i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qFormat/>
    <w:rsid w:val="00D765D5"/>
    <w:pPr>
      <w:tabs>
        <w:tab w:val="center" w:pos="4320"/>
        <w:tab w:val="right" w:pos="8640"/>
      </w:tabs>
      <w:spacing w:before="120" w:after="120"/>
    </w:pPr>
    <w:rPr>
      <w:rFonts w:ascii="Avenir LT Std 55 Roman" w:hAnsi="Avenir LT Std 55 Roman" w:cs="Yu Gothic UI"/>
      <w:b/>
      <w:color w:val="000000"/>
      <w:sz w:val="24"/>
      <w:szCs w:val="24"/>
      <w:u w:color="000000"/>
    </w:rPr>
  </w:style>
  <w:style w:type="paragraph" w:customStyle="1" w:styleId="HeaderFooter">
    <w:name w:val="Header &amp; Footer"/>
    <w:qFormat/>
    <w:rsid w:val="00D765D5"/>
    <w:pPr>
      <w:tabs>
        <w:tab w:val="right" w:pos="9020"/>
      </w:tabs>
      <w:spacing w:before="0" w:after="0"/>
    </w:pPr>
    <w:rPr>
      <w:rFonts w:ascii="Avenir LT Std 55 Roman" w:hAnsi="Avenir LT Std 55 Roman" w:cs="Yu Gothic UI"/>
      <w:color w:val="000000"/>
      <w:szCs w:val="24"/>
    </w:rPr>
  </w:style>
  <w:style w:type="paragraph" w:customStyle="1" w:styleId="Default">
    <w:name w:val="Default"/>
    <w:qFormat/>
    <w:rsid w:val="00D765D5"/>
    <w:pPr>
      <w:spacing w:before="0" w:after="0"/>
    </w:pPr>
    <w:rPr>
      <w:rFonts w:ascii="Avenir LT Std 55 Roman" w:hAnsi="Avenir LT Std 55 Roman" w:cs="Yu Gothic UI"/>
      <w:color w:val="000000"/>
      <w:sz w:val="22"/>
      <w:szCs w:val="22"/>
    </w:rPr>
  </w:style>
  <w:style w:type="paragraph" w:customStyle="1" w:styleId="BasicParagraph">
    <w:name w:val="[Basic Paragraph]"/>
    <w:basedOn w:val="Normal"/>
    <w:uiPriority w:val="99"/>
    <w:qFormat/>
    <w:rsid w:val="00D765D5"/>
    <w:pPr>
      <w:widowControl w:val="0"/>
      <w:pBdr>
        <w:top w:val="nil"/>
        <w:left w:val="nil"/>
        <w:bottom w:val="nil"/>
        <w:right w:val="nil"/>
        <w:between w:val="nil"/>
      </w:pBdr>
      <w:spacing w:after="180" w:line="280" w:lineRule="atLeast"/>
    </w:pPr>
    <w:rPr>
      <w:rFonts w:cs="Avenir LT Std 55 Roman"/>
      <w:color w:val="000000"/>
    </w:rPr>
  </w:style>
  <w:style w:type="paragraph" w:styleId="Footer">
    <w:name w:val="footer"/>
    <w:basedOn w:val="Normal"/>
    <w:link w:val="FooterChar"/>
    <w:uiPriority w:val="99"/>
    <w:qFormat/>
    <w:rsid w:val="00D765D5"/>
    <w:pPr>
      <w:tabs>
        <w:tab w:val="center" w:pos="4320"/>
        <w:tab w:val="right" w:pos="8640"/>
      </w:tabs>
    </w:pPr>
    <w:rPr>
      <w:sz w:val="20"/>
    </w:rPr>
  </w:style>
  <w:style w:type="paragraph" w:styleId="BodyText">
    <w:name w:val="Body Text"/>
    <w:basedOn w:val="Normal"/>
    <w:link w:val="BodyTextChar"/>
    <w:uiPriority w:val="1"/>
    <w:qFormat/>
    <w:rsid w:val="00D765D5"/>
    <w:pPr>
      <w:pBdr>
        <w:top w:val="nil"/>
        <w:left w:val="nil"/>
        <w:bottom w:val="nil"/>
        <w:right w:val="nil"/>
        <w:between w:val="nil"/>
      </w:pBdr>
    </w:pPr>
    <w:rPr>
      <w:rFonts w:ascii="Times New Roman" w:eastAsia="Times New Roman" w:hAnsi="Times New Roman"/>
      <w:szCs w:val="20"/>
    </w:rPr>
  </w:style>
  <w:style w:type="paragraph" w:styleId="Title">
    <w:name w:val="Title"/>
    <w:basedOn w:val="Heading1"/>
    <w:next w:val="Normal"/>
    <w:link w:val="TitleChar"/>
    <w:uiPriority w:val="10"/>
    <w:qFormat/>
    <w:rsid w:val="00D765D5"/>
    <w:pPr>
      <w:spacing w:before="360" w:after="360"/>
      <w:contextualSpacing/>
    </w:pPr>
    <w:rPr>
      <w:rFonts w:ascii="Avenir LT Std 65 Medium" w:hAnsi="Avenir LT Std 65 Medium"/>
      <w:spacing w:val="-9"/>
      <w:kern w:val="1"/>
      <w:sz w:val="48"/>
      <w:szCs w:val="56"/>
    </w:rPr>
  </w:style>
  <w:style w:type="paragraph" w:styleId="Subtitle">
    <w:name w:val="Subtitle"/>
    <w:basedOn w:val="Heading2"/>
    <w:next w:val="Normal"/>
    <w:link w:val="SubtitleChar"/>
    <w:uiPriority w:val="11"/>
    <w:qFormat/>
    <w:rsid w:val="00D765D5"/>
    <w:rPr>
      <w:rFonts w:ascii="Avenir LT Std 65 Medium" w:hAnsi="Avenir LT Std 65 Medium"/>
      <w:i/>
      <w:spacing w:val="15"/>
      <w:sz w:val="40"/>
      <w:szCs w:val="2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sid w:val="00D765D5"/>
    <w:pPr>
      <w:spacing w:before="200"/>
      <w:ind w:left="720" w:right="864"/>
    </w:pPr>
    <w:rPr>
      <w:i/>
      <w:iCs/>
      <w:color w:val="414140"/>
    </w:rPr>
  </w:style>
  <w:style w:type="paragraph" w:styleId="IntenseQuote">
    <w:name w:val="Intense Quote"/>
    <w:basedOn w:val="Normal"/>
    <w:next w:val="Normal"/>
    <w:link w:val="IntenseQuoteChar"/>
    <w:uiPriority w:val="30"/>
    <w:qFormat/>
    <w:rsid w:val="00D765D5"/>
    <w:pPr>
      <w:pBdr>
        <w:top w:val="single" w:sz="4" w:space="10" w:color="1F8BBF"/>
        <w:left w:val="nil"/>
        <w:bottom w:val="single" w:sz="4" w:space="10" w:color="1F8BBF"/>
        <w:right w:val="nil"/>
        <w:between w:val="nil"/>
      </w:pBdr>
      <w:spacing w:before="360" w:after="360"/>
      <w:ind w:left="864" w:right="864"/>
      <w:jc w:val="center"/>
    </w:pPr>
    <w:rPr>
      <w:i/>
      <w:iCs/>
      <w:color w:val="1F8BBF"/>
    </w:rPr>
  </w:style>
  <w:style w:type="paragraph" w:styleId="FootnoteText">
    <w:name w:val="footnote text"/>
    <w:basedOn w:val="Normal"/>
    <w:link w:val="FootnoteTextChar"/>
    <w:uiPriority w:val="99"/>
    <w:qFormat/>
    <w:rsid w:val="00D765D5"/>
    <w:pPr>
      <w:tabs>
        <w:tab w:val="left" w:pos="180"/>
      </w:tabs>
      <w:spacing w:before="0" w:after="20"/>
    </w:pPr>
    <w:rPr>
      <w:sz w:val="20"/>
      <w:szCs w:val="20"/>
    </w:rPr>
  </w:style>
  <w:style w:type="paragraph" w:styleId="BlockText">
    <w:name w:val="Block Text"/>
    <w:basedOn w:val="Normal"/>
    <w:uiPriority w:val="99"/>
    <w:qFormat/>
    <w:rsid w:val="00D765D5"/>
    <w:pPr>
      <w:pBdr>
        <w:top w:val="single" w:sz="2" w:space="10" w:color="1F8BBF"/>
        <w:left w:val="single" w:sz="2" w:space="10" w:color="1F8BBF"/>
        <w:bottom w:val="single" w:sz="2" w:space="10" w:color="1F8BBF"/>
        <w:right w:val="single" w:sz="2" w:space="10" w:color="1F8BBF"/>
        <w:between w:val="nil"/>
      </w:pBdr>
      <w:ind w:left="1152" w:right="1152"/>
    </w:pPr>
    <w:rPr>
      <w:rFonts w:eastAsia="Times New Roman"/>
      <w:b/>
      <w:iCs/>
      <w:color w:val="1F8BBF"/>
    </w:rPr>
  </w:style>
  <w:style w:type="paragraph" w:styleId="TOCHeading">
    <w:name w:val="TOC Heading"/>
    <w:basedOn w:val="Heading1"/>
    <w:next w:val="Normal"/>
    <w:uiPriority w:val="39"/>
    <w:qFormat/>
    <w:rsid w:val="00D765D5"/>
    <w:pPr>
      <w:spacing w:after="0"/>
      <w:outlineLvl w:val="9"/>
    </w:pPr>
    <w:rPr>
      <w:rFonts w:ascii="Times New Roman" w:hAnsi="Times New Roman"/>
      <w:bCs w:val="0"/>
    </w:rPr>
  </w:style>
  <w:style w:type="paragraph" w:styleId="EndnoteText">
    <w:name w:val="endnote text"/>
    <w:basedOn w:val="FootnoteText"/>
    <w:link w:val="EndnoteTextChar"/>
    <w:uiPriority w:val="99"/>
    <w:qFormat/>
    <w:rsid w:val="00D765D5"/>
    <w:pPr>
      <w:ind w:left="90" w:hanging="90"/>
    </w:pPr>
  </w:style>
  <w:style w:type="paragraph" w:styleId="DocumentMap">
    <w:name w:val="Document Map"/>
    <w:basedOn w:val="Normal"/>
    <w:link w:val="DocumentMapChar"/>
    <w:uiPriority w:val="99"/>
    <w:qFormat/>
    <w:rsid w:val="00D765D5"/>
    <w:pPr>
      <w:spacing w:before="0" w:after="0"/>
    </w:pPr>
    <w:rPr>
      <w:sz w:val="26"/>
      <w:szCs w:val="26"/>
    </w:rPr>
  </w:style>
  <w:style w:type="paragraph" w:styleId="EnvelopeAddress">
    <w:name w:val="envelope address"/>
    <w:basedOn w:val="Normal"/>
    <w:uiPriority w:val="99"/>
    <w:qFormat/>
    <w:rsid w:val="00D765D5"/>
    <w:pPr>
      <w:spacing w:before="0" w:after="0"/>
      <w:ind w:left="2880"/>
    </w:pPr>
    <w:rPr>
      <w:rFonts w:eastAsia="Times New Roman"/>
    </w:rPr>
  </w:style>
  <w:style w:type="paragraph" w:styleId="EnvelopeReturn">
    <w:name w:val="envelope return"/>
    <w:basedOn w:val="Normal"/>
    <w:uiPriority w:val="99"/>
    <w:qFormat/>
    <w:rsid w:val="00D765D5"/>
    <w:pPr>
      <w:spacing w:before="0" w:after="0"/>
    </w:pPr>
    <w:rPr>
      <w:rFonts w:eastAsia="Times New Roman"/>
      <w:sz w:val="20"/>
      <w:szCs w:val="20"/>
    </w:rPr>
  </w:style>
  <w:style w:type="paragraph" w:styleId="HTMLAddress">
    <w:name w:val="HTML Address"/>
    <w:basedOn w:val="Normal"/>
    <w:link w:val="HTMLAddressChar"/>
    <w:uiPriority w:val="99"/>
    <w:qFormat/>
    <w:rsid w:val="00D765D5"/>
    <w:pPr>
      <w:spacing w:before="0" w:after="0"/>
    </w:pPr>
    <w:rPr>
      <w:i/>
      <w:iCs/>
    </w:rPr>
  </w:style>
  <w:style w:type="paragraph" w:styleId="Index1">
    <w:name w:val="index 1"/>
    <w:basedOn w:val="Normal"/>
    <w:next w:val="Normal"/>
    <w:uiPriority w:val="99"/>
    <w:qFormat/>
    <w:rsid w:val="00D765D5"/>
    <w:pPr>
      <w:spacing w:before="0" w:after="0"/>
      <w:ind w:left="240" w:hanging="240"/>
    </w:pPr>
  </w:style>
  <w:style w:type="paragraph" w:styleId="IndexHeading">
    <w:name w:val="index heading"/>
    <w:basedOn w:val="Normal"/>
    <w:next w:val="Index1"/>
    <w:uiPriority w:val="99"/>
    <w:qFormat/>
    <w:rsid w:val="00D765D5"/>
    <w:rPr>
      <w:rFonts w:ascii="Avenir LT Std 65 Medium" w:eastAsia="Times New Roman" w:hAnsi="Avenir LT Std 65 Medium"/>
      <w:bCs/>
    </w:rPr>
  </w:style>
  <w:style w:type="paragraph" w:styleId="MessageHeader">
    <w:name w:val="Message Header"/>
    <w:basedOn w:val="Normal"/>
    <w:link w:val="MessageHeaderChar"/>
    <w:uiPriority w:val="99"/>
    <w:qFormat/>
    <w:rsid w:val="00D765D5"/>
    <w:pPr>
      <w:pBdr>
        <w:top w:val="single" w:sz="6" w:space="1" w:color="000000"/>
        <w:left w:val="single" w:sz="6" w:space="1" w:color="000000"/>
        <w:bottom w:val="single" w:sz="6" w:space="1" w:color="000000"/>
        <w:right w:val="single" w:sz="6" w:space="1" w:color="000000"/>
        <w:between w:val="nil"/>
      </w:pBdr>
      <w:shd w:val="solid" w:color="CCCCCC" w:fill="auto"/>
      <w:spacing w:before="0" w:after="0"/>
      <w:ind w:left="1080" w:hanging="1080"/>
    </w:pPr>
    <w:rPr>
      <w:rFonts w:eastAsia="Times New Roman"/>
      <w:b/>
    </w:rPr>
  </w:style>
  <w:style w:type="paragraph" w:styleId="NormalWeb">
    <w:name w:val="Normal (Web)"/>
    <w:basedOn w:val="Normal"/>
    <w:uiPriority w:val="99"/>
    <w:qFormat/>
    <w:rsid w:val="00D765D5"/>
  </w:style>
  <w:style w:type="paragraph" w:styleId="TOAHeading">
    <w:name w:val="toa heading"/>
    <w:basedOn w:val="Normal"/>
    <w:next w:val="Normal"/>
    <w:uiPriority w:val="99"/>
    <w:qFormat/>
    <w:rsid w:val="00D765D5"/>
    <w:pPr>
      <w:spacing w:before="120"/>
    </w:pPr>
    <w:rPr>
      <w:rFonts w:eastAsia="Times New Roman"/>
      <w:b/>
      <w:bCs/>
    </w:rPr>
  </w:style>
  <w:style w:type="paragraph" w:styleId="BalloonText">
    <w:name w:val="Balloon Text"/>
    <w:basedOn w:val="Normal"/>
    <w:link w:val="BalloonTextChar"/>
    <w:uiPriority w:val="99"/>
    <w:qFormat/>
    <w:rsid w:val="00D765D5"/>
    <w:pPr>
      <w:spacing w:before="0" w:after="0"/>
    </w:pPr>
    <w:rPr>
      <w:rFonts w:ascii="Times New Roman" w:hAnsi="Times New Roman"/>
      <w:sz w:val="20"/>
      <w:szCs w:val="18"/>
    </w:rPr>
  </w:style>
  <w:style w:type="paragraph" w:styleId="Caption">
    <w:name w:val="caption"/>
    <w:basedOn w:val="Normal"/>
    <w:next w:val="Normal"/>
    <w:uiPriority w:val="35"/>
    <w:qFormat/>
    <w:rsid w:val="00D765D5"/>
    <w:pPr>
      <w:spacing w:before="0" w:after="200"/>
    </w:pPr>
    <w:rPr>
      <w:iCs/>
      <w:color w:val="000000"/>
      <w:sz w:val="20"/>
      <w:szCs w:val="18"/>
    </w:rPr>
  </w:style>
  <w:style w:type="paragraph" w:styleId="NoSpacing">
    <w:name w:val="No Spacing"/>
    <w:uiPriority w:val="1"/>
    <w:qFormat/>
    <w:rsid w:val="00D765D5"/>
    <w:pPr>
      <w:spacing w:before="0" w:after="0"/>
    </w:pPr>
    <w:rPr>
      <w:rFonts w:ascii="Avenir LT Std 55 Roman" w:hAnsi="Avenir LT Std 55 Roman"/>
      <w:sz w:val="24"/>
      <w:szCs w:val="24"/>
    </w:rPr>
  </w:style>
  <w:style w:type="paragraph" w:styleId="BodyText3">
    <w:name w:val="Body Text 3"/>
    <w:basedOn w:val="Normal"/>
    <w:link w:val="BodyText3Char"/>
    <w:uiPriority w:val="99"/>
    <w:qFormat/>
    <w:rsid w:val="00D765D5"/>
    <w:pPr>
      <w:spacing w:after="120"/>
    </w:pPr>
    <w:rPr>
      <w:sz w:val="16"/>
      <w:szCs w:val="16"/>
    </w:rPr>
  </w:style>
  <w:style w:type="paragraph" w:styleId="BodyText2">
    <w:name w:val="Body Text 2"/>
    <w:basedOn w:val="Normal"/>
    <w:link w:val="BodyText2Char"/>
    <w:uiPriority w:val="99"/>
    <w:qFormat/>
    <w:rsid w:val="00D765D5"/>
    <w:pPr>
      <w:spacing w:after="120"/>
    </w:pPr>
  </w:style>
  <w:style w:type="paragraph" w:styleId="BodyTextIndent3">
    <w:name w:val="Body Text Indent 3"/>
    <w:basedOn w:val="Normal"/>
    <w:link w:val="BodyTextIndent3Char"/>
    <w:uiPriority w:val="99"/>
    <w:qFormat/>
    <w:rsid w:val="00D765D5"/>
    <w:pPr>
      <w:spacing w:after="120"/>
      <w:ind w:left="360"/>
    </w:pPr>
    <w:rPr>
      <w:sz w:val="20"/>
      <w:szCs w:val="16"/>
    </w:rPr>
  </w:style>
  <w:style w:type="paragraph" w:customStyle="1" w:styleId="paragraph">
    <w:name w:val="paragraph"/>
    <w:basedOn w:val="Normal"/>
    <w:qFormat/>
    <w:rsid w:val="00D765D5"/>
    <w:pPr>
      <w:pBdr>
        <w:top w:val="nil"/>
        <w:left w:val="nil"/>
        <w:bottom w:val="nil"/>
        <w:right w:val="nil"/>
        <w:between w:val="nil"/>
      </w:pBdr>
      <w:spacing w:before="100" w:beforeAutospacing="1" w:after="100" w:afterAutospacing="1"/>
    </w:pPr>
    <w:rPr>
      <w:rFonts w:ascii="Times New Roman" w:eastAsia="Times New Roman" w:hAnsi="Times New Roman"/>
    </w:rPr>
  </w:style>
  <w:style w:type="paragraph" w:customStyle="1" w:styleId="CommentText1">
    <w:name w:val="Comment Text1"/>
    <w:basedOn w:val="Normal"/>
    <w:qFormat/>
    <w:pPr>
      <w:pBdr>
        <w:top w:val="nil"/>
        <w:left w:val="nil"/>
        <w:bottom w:val="nil"/>
        <w:right w:val="nil"/>
        <w:between w:val="nil"/>
      </w:pBdr>
      <w:spacing w:before="0"/>
    </w:pPr>
    <w:rPr>
      <w:rFonts w:eastAsia="Avenir LT Std 55 Roman" w:cs="Helvetica"/>
      <w:sz w:val="20"/>
      <w:szCs w:val="20"/>
    </w:rPr>
  </w:style>
  <w:style w:type="paragraph" w:customStyle="1" w:styleId="CommentSubject1">
    <w:name w:val="Comment Subject1"/>
    <w:basedOn w:val="CommentText1"/>
    <w:next w:val="CommentText1"/>
    <w:qFormat/>
    <w:pPr>
      <w:spacing w:before="160"/>
    </w:pPr>
    <w:rPr>
      <w:rFonts w:eastAsia="Arial Unicode MS" w:cs="Times New Roman"/>
      <w:b/>
      <w:bCs/>
    </w:rPr>
  </w:style>
  <w:style w:type="paragraph" w:styleId="TOC1">
    <w:name w:val="toc 1"/>
    <w:basedOn w:val="Normal"/>
    <w:next w:val="Normal"/>
    <w:uiPriority w:val="39"/>
    <w:qFormat/>
    <w:rsid w:val="00D765D5"/>
    <w:pPr>
      <w:spacing w:after="100"/>
    </w:pPr>
  </w:style>
  <w:style w:type="paragraph" w:styleId="TOC2">
    <w:name w:val="toc 2"/>
    <w:basedOn w:val="Normal"/>
    <w:next w:val="Normal"/>
    <w:uiPriority w:val="39"/>
    <w:qFormat/>
    <w:rsid w:val="00D765D5"/>
    <w:pPr>
      <w:spacing w:after="100"/>
      <w:ind w:left="240"/>
    </w:pPr>
  </w:style>
  <w:style w:type="paragraph" w:styleId="TOC3">
    <w:name w:val="toc 3"/>
    <w:basedOn w:val="Normal"/>
    <w:next w:val="Normal"/>
    <w:uiPriority w:val="39"/>
    <w:qFormat/>
    <w:rsid w:val="00D765D5"/>
    <w:pPr>
      <w:spacing w:after="100"/>
      <w:ind w:left="480"/>
    </w:pPr>
  </w:style>
  <w:style w:type="paragraph" w:styleId="Revision">
    <w:name w:val="Revision"/>
    <w:uiPriority w:val="99"/>
    <w:qFormat/>
    <w:rsid w:val="00D765D5"/>
    <w:pPr>
      <w:pBdr>
        <w:top w:val="nil"/>
        <w:left w:val="nil"/>
        <w:bottom w:val="nil"/>
        <w:right w:val="nil"/>
        <w:between w:val="nil"/>
      </w:pBdr>
      <w:spacing w:before="0" w:after="0"/>
    </w:pPr>
    <w:rPr>
      <w:rFonts w:ascii="Avenir LT Std 55 Roman" w:hAnsi="Avenir LT Std 55 Roman"/>
      <w:sz w:val="24"/>
      <w:szCs w:val="24"/>
    </w:rPr>
  </w:style>
  <w:style w:type="paragraph" w:customStyle="1" w:styleId="experience-group">
    <w:name w:val="experience-group"/>
    <w:basedOn w:val="Normal"/>
    <w:qFormat/>
    <w:rsid w:val="00D765D5"/>
    <w:pPr>
      <w:pBdr>
        <w:top w:val="nil"/>
        <w:left w:val="nil"/>
        <w:bottom w:val="nil"/>
        <w:right w:val="nil"/>
        <w:between w:val="nil"/>
      </w:pBdr>
      <w:spacing w:before="100" w:beforeAutospacing="1" w:after="100" w:afterAutospacing="1"/>
    </w:pPr>
    <w:rPr>
      <w:rFonts w:ascii="Times New Roman" w:eastAsia="Times New Roman" w:hAnsi="Times New Roman"/>
    </w:rPr>
  </w:style>
  <w:style w:type="paragraph" w:customStyle="1" w:styleId="experience-group-headerduration">
    <w:name w:val="experience-group-header__duration"/>
    <w:basedOn w:val="Normal"/>
    <w:qFormat/>
    <w:rsid w:val="00D765D5"/>
    <w:pPr>
      <w:pBdr>
        <w:top w:val="nil"/>
        <w:left w:val="nil"/>
        <w:bottom w:val="nil"/>
        <w:right w:val="nil"/>
        <w:between w:val="nil"/>
      </w:pBdr>
      <w:spacing w:before="100" w:beforeAutospacing="1" w:after="100" w:afterAutospacing="1"/>
    </w:pPr>
    <w:rPr>
      <w:rFonts w:ascii="Times New Roman" w:eastAsia="Times New Roman" w:hAnsi="Times New Roman"/>
    </w:rPr>
  </w:style>
  <w:style w:type="paragraph" w:customStyle="1" w:styleId="profile-section-card">
    <w:name w:val="profile-section-card"/>
    <w:basedOn w:val="Normal"/>
    <w:qFormat/>
    <w:rsid w:val="00D765D5"/>
    <w:pPr>
      <w:pBdr>
        <w:top w:val="nil"/>
        <w:left w:val="nil"/>
        <w:bottom w:val="nil"/>
        <w:right w:val="nil"/>
        <w:between w:val="nil"/>
      </w:pBdr>
      <w:spacing w:before="100" w:beforeAutospacing="1" w:after="100" w:afterAutospacing="1"/>
    </w:pPr>
    <w:rPr>
      <w:rFonts w:ascii="Times New Roman" w:eastAsia="Times New Roman" w:hAnsi="Times New Roman"/>
    </w:rPr>
  </w:style>
  <w:style w:type="paragraph" w:customStyle="1" w:styleId="experience-group-positionduration">
    <w:name w:val="experience-group-position__duration"/>
    <w:basedOn w:val="Normal"/>
    <w:qFormat/>
    <w:rsid w:val="00D765D5"/>
    <w:pPr>
      <w:pBdr>
        <w:top w:val="nil"/>
        <w:left w:val="nil"/>
        <w:bottom w:val="nil"/>
        <w:right w:val="nil"/>
        <w:between w:val="nil"/>
      </w:pBdr>
      <w:spacing w:before="100" w:beforeAutospacing="1" w:after="100" w:afterAutospacing="1"/>
    </w:pPr>
    <w:rPr>
      <w:rFonts w:ascii="Times New Roman" w:eastAsia="Times New Roman" w:hAnsi="Times New Roman"/>
    </w:rPr>
  </w:style>
  <w:style w:type="paragraph" w:customStyle="1" w:styleId="experience-group-positionlocation">
    <w:name w:val="experience-group-position__location"/>
    <w:basedOn w:val="Normal"/>
    <w:qFormat/>
    <w:rsid w:val="00D765D5"/>
    <w:pPr>
      <w:pBdr>
        <w:top w:val="nil"/>
        <w:left w:val="nil"/>
        <w:bottom w:val="nil"/>
        <w:right w:val="nil"/>
        <w:between w:val="nil"/>
      </w:pBdr>
      <w:spacing w:before="100" w:beforeAutospacing="1" w:after="100" w:afterAutospacing="1"/>
    </w:pPr>
    <w:rPr>
      <w:rFonts w:ascii="Times New Roman" w:eastAsia="Times New Roman" w:hAnsi="Times New Roman"/>
    </w:rPr>
  </w:style>
  <w:style w:type="paragraph" w:customStyle="1" w:styleId="show-more-less-texttext--less">
    <w:name w:val="show-more-less-text__text--less"/>
    <w:basedOn w:val="Normal"/>
    <w:qFormat/>
    <w:rsid w:val="00D765D5"/>
    <w:pPr>
      <w:pBdr>
        <w:top w:val="nil"/>
        <w:left w:val="nil"/>
        <w:bottom w:val="nil"/>
        <w:right w:val="nil"/>
        <w:between w:val="nil"/>
      </w:pBdr>
      <w:spacing w:before="100" w:beforeAutospacing="1" w:after="100" w:afterAutospacing="1"/>
    </w:pPr>
    <w:rPr>
      <w:rFonts w:ascii="Times New Roman" w:eastAsia="Times New Roman" w:hAnsi="Times New Roman"/>
    </w:rPr>
  </w:style>
  <w:style w:type="paragraph" w:customStyle="1" w:styleId="experience-itemduration">
    <w:name w:val="experience-item__duration"/>
    <w:basedOn w:val="Normal"/>
    <w:qFormat/>
    <w:rsid w:val="00D765D5"/>
    <w:pPr>
      <w:pBdr>
        <w:top w:val="nil"/>
        <w:left w:val="nil"/>
        <w:bottom w:val="nil"/>
        <w:right w:val="nil"/>
        <w:between w:val="nil"/>
      </w:pBdr>
      <w:spacing w:before="100" w:beforeAutospacing="1" w:after="100" w:afterAutospacing="1"/>
    </w:pPr>
    <w:rPr>
      <w:rFonts w:ascii="Times New Roman" w:eastAsia="Times New Roman" w:hAnsi="Times New Roman"/>
    </w:rPr>
  </w:style>
  <w:style w:type="paragraph" w:customStyle="1" w:styleId="experience-itemlocation">
    <w:name w:val="experience-item__location"/>
    <w:basedOn w:val="Normal"/>
    <w:qFormat/>
    <w:rsid w:val="00D765D5"/>
    <w:pPr>
      <w:pBdr>
        <w:top w:val="nil"/>
        <w:left w:val="nil"/>
        <w:bottom w:val="nil"/>
        <w:right w:val="nil"/>
        <w:between w:val="nil"/>
      </w:pBdr>
      <w:spacing w:before="100" w:beforeAutospacing="1" w:after="100" w:afterAutospacing="1"/>
    </w:pPr>
    <w:rPr>
      <w:rFonts w:ascii="Times New Roman" w:eastAsia="Times New Roman" w:hAnsi="Times New Roman"/>
    </w:rPr>
  </w:style>
  <w:style w:type="paragraph" w:customStyle="1" w:styleId="educationitem1">
    <w:name w:val="education__item1"/>
    <w:basedOn w:val="Normal"/>
    <w:qFormat/>
    <w:rsid w:val="00D765D5"/>
    <w:pPr>
      <w:pBdr>
        <w:top w:val="nil"/>
        <w:left w:val="nil"/>
        <w:bottom w:val="nil"/>
        <w:right w:val="nil"/>
        <w:between w:val="nil"/>
      </w:pBdr>
      <w:spacing w:before="100" w:beforeAutospacing="1" w:after="100" w:afterAutospacing="1"/>
    </w:pPr>
    <w:rPr>
      <w:rFonts w:ascii="Times New Roman" w:eastAsia="Times New Roman" w:hAnsi="Times New Roman"/>
    </w:rPr>
  </w:style>
  <w:style w:type="paragraph" w:customStyle="1" w:styleId="volunteeringitem">
    <w:name w:val="volunteering__item"/>
    <w:basedOn w:val="Normal"/>
    <w:qFormat/>
    <w:rsid w:val="00D765D5"/>
    <w:pPr>
      <w:pBdr>
        <w:top w:val="nil"/>
        <w:left w:val="nil"/>
        <w:bottom w:val="nil"/>
        <w:right w:val="nil"/>
        <w:between w:val="nil"/>
      </w:pBdr>
      <w:spacing w:before="100" w:beforeAutospacing="1" w:after="100" w:afterAutospacing="1"/>
    </w:pPr>
    <w:rPr>
      <w:rFonts w:ascii="Times New Roman" w:eastAsia="Times New Roman" w:hAnsi="Times New Roman"/>
    </w:rPr>
  </w:style>
  <w:style w:type="paragraph" w:customStyle="1" w:styleId="recommendationslist-item">
    <w:name w:val="recommendations__list-item"/>
    <w:basedOn w:val="Normal"/>
    <w:qFormat/>
    <w:rsid w:val="00D765D5"/>
    <w:pPr>
      <w:pBdr>
        <w:top w:val="nil"/>
        <w:left w:val="nil"/>
        <w:bottom w:val="nil"/>
        <w:right w:val="nil"/>
        <w:between w:val="nil"/>
      </w:pBdr>
      <w:spacing w:before="100" w:beforeAutospacing="1" w:after="100" w:afterAutospacing="1"/>
    </w:pPr>
    <w:rPr>
      <w:rFonts w:ascii="Times New Roman" w:eastAsia="Times New Roman" w:hAnsi="Times New Roman"/>
    </w:rPr>
  </w:style>
  <w:style w:type="paragraph" w:customStyle="1" w:styleId="endorsement-cardcontent">
    <w:name w:val="endorsement-card__content"/>
    <w:basedOn w:val="Normal"/>
    <w:qFormat/>
    <w:rsid w:val="00D765D5"/>
    <w:pPr>
      <w:pBdr>
        <w:top w:val="nil"/>
        <w:left w:val="nil"/>
        <w:bottom w:val="nil"/>
        <w:right w:val="nil"/>
        <w:between w:val="nil"/>
      </w:pBdr>
      <w:spacing w:before="100" w:beforeAutospacing="1" w:after="100" w:afterAutospacing="1"/>
    </w:pPr>
    <w:rPr>
      <w:rFonts w:ascii="Times New Roman" w:eastAsia="Times New Roman" w:hAnsi="Times New Roman"/>
    </w:rPr>
  </w:style>
  <w:style w:type="paragraph" w:styleId="CommentText">
    <w:name w:val="annotation text"/>
    <w:basedOn w:val="Normal"/>
    <w:link w:val="CommentTextChar"/>
    <w:uiPriority w:val="99"/>
    <w:qFormat/>
    <w:rsid w:val="00D765D5"/>
    <w:pPr>
      <w:spacing w:before="0" w:after="0"/>
    </w:pPr>
    <w:rPr>
      <w:sz w:val="20"/>
      <w:szCs w:val="20"/>
    </w:rPr>
  </w:style>
  <w:style w:type="paragraph" w:styleId="CommentSubject">
    <w:name w:val="annotation subject"/>
    <w:basedOn w:val="CommentText"/>
    <w:next w:val="CommentText"/>
    <w:link w:val="CommentSubjectChar"/>
    <w:uiPriority w:val="99"/>
    <w:qFormat/>
    <w:rsid w:val="00D765D5"/>
    <w:rPr>
      <w:b/>
      <w:bCs/>
    </w:rPr>
  </w:style>
  <w:style w:type="character" w:styleId="Hyperlink">
    <w:name w:val="Hyperlink"/>
    <w:uiPriority w:val="99"/>
    <w:rPr>
      <w:rFonts w:ascii="Avenir LT Std 55 Roman" w:hAnsi="Avenir LT Std 55 Roman"/>
      <w:b w:val="0"/>
      <w:i/>
      <w:color w:val="1B74A0"/>
      <w:u w:val="none"/>
    </w:rPr>
  </w:style>
  <w:style w:type="character" w:customStyle="1" w:styleId="FooterChar">
    <w:name w:val="Footer Char"/>
    <w:basedOn w:val="DefaultParagraphFont"/>
    <w:link w:val="Footer"/>
    <w:uiPriority w:val="99"/>
    <w:rPr>
      <w:rFonts w:ascii="Avenir LT Std 55 Roman" w:hAnsi="Avenir LT Std 55 Roman"/>
      <w:szCs w:val="24"/>
    </w:rPr>
  </w:style>
  <w:style w:type="character" w:customStyle="1" w:styleId="Heading1Char">
    <w:name w:val="Heading 1 Char"/>
    <w:basedOn w:val="DefaultParagraphFont"/>
    <w:link w:val="Heading1"/>
    <w:uiPriority w:val="9"/>
    <w:rPr>
      <w:rFonts w:ascii="Avenir LT Std 55 Roman" w:eastAsia="Times New Roman" w:hAnsi="Avenir LT Std 55 Roman"/>
      <w:b/>
      <w:bCs/>
      <w:color w:val="1F8BBF"/>
      <w:sz w:val="32"/>
      <w:szCs w:val="32"/>
    </w:rPr>
  </w:style>
  <w:style w:type="character" w:customStyle="1" w:styleId="BodyTextChar">
    <w:name w:val="Body Text Char"/>
    <w:basedOn w:val="DefaultParagraphFont"/>
    <w:link w:val="BodyText"/>
    <w:uiPriority w:val="1"/>
    <w:rPr>
      <w:rFonts w:eastAsia="Times New Roman"/>
      <w:sz w:val="24"/>
    </w:rPr>
  </w:style>
  <w:style w:type="character" w:customStyle="1" w:styleId="Heading2Char">
    <w:name w:val="Heading 2 Char"/>
    <w:basedOn w:val="DefaultParagraphFont"/>
    <w:link w:val="Heading2"/>
    <w:uiPriority w:val="9"/>
    <w:rPr>
      <w:rFonts w:ascii="Avenir LT Std 55 Roman" w:eastAsia="Times New Roman" w:hAnsi="Avenir LT Std 55 Roman"/>
      <w:b/>
      <w:color w:val="36A393"/>
      <w:sz w:val="30"/>
      <w:szCs w:val="26"/>
    </w:rPr>
  </w:style>
  <w:style w:type="character" w:customStyle="1" w:styleId="Heading3Char">
    <w:name w:val="Heading 3 Char"/>
    <w:basedOn w:val="DefaultParagraphFont"/>
    <w:link w:val="Heading3"/>
    <w:uiPriority w:val="9"/>
    <w:rPr>
      <w:rFonts w:ascii="Avenir LT Std 55 Roman" w:eastAsia="Times New Roman" w:hAnsi="Avenir LT Std 55 Roman"/>
      <w:b/>
      <w:color w:val="0F5A7C"/>
      <w:sz w:val="28"/>
      <w:szCs w:val="24"/>
    </w:rPr>
  </w:style>
  <w:style w:type="character" w:customStyle="1" w:styleId="TitleChar">
    <w:name w:val="Title Char"/>
    <w:basedOn w:val="DefaultParagraphFont"/>
    <w:link w:val="Title"/>
    <w:uiPriority w:val="10"/>
    <w:rPr>
      <w:rFonts w:ascii="Avenir LT Std 65 Medium" w:eastAsia="Times New Roman" w:hAnsi="Avenir LT Std 65 Medium"/>
      <w:b/>
      <w:bCs/>
      <w:color w:val="1F8BBF"/>
      <w:spacing w:val="-9"/>
      <w:kern w:val="1"/>
      <w:sz w:val="48"/>
      <w:szCs w:val="56"/>
    </w:rPr>
  </w:style>
  <w:style w:type="character" w:customStyle="1" w:styleId="SubtitleChar">
    <w:name w:val="Subtitle Char"/>
    <w:basedOn w:val="DefaultParagraphFont"/>
    <w:link w:val="Subtitle"/>
    <w:uiPriority w:val="11"/>
    <w:rPr>
      <w:rFonts w:ascii="Avenir LT Std 65 Medium" w:eastAsia="Times New Roman" w:hAnsi="Avenir LT Std 65 Medium"/>
      <w:b/>
      <w:i/>
      <w:color w:val="36A393"/>
      <w:spacing w:val="15"/>
      <w:sz w:val="40"/>
      <w:szCs w:val="22"/>
    </w:rPr>
  </w:style>
  <w:style w:type="character" w:styleId="PageNumber">
    <w:name w:val="page number"/>
    <w:basedOn w:val="DefaultParagraphFont"/>
    <w:uiPriority w:val="99"/>
    <w:rsid w:val="00D765D5"/>
    <w:rPr>
      <w:rFonts w:ascii="Avenir LT Std 55 Roman" w:hAnsi="Avenir LT Std 55 Roman"/>
      <w:b w:val="0"/>
      <w:i w:val="0"/>
    </w:rPr>
  </w:style>
  <w:style w:type="character" w:customStyle="1" w:styleId="QuoteChar">
    <w:name w:val="Quote Char"/>
    <w:basedOn w:val="DefaultParagraphFont"/>
    <w:link w:val="Quote"/>
    <w:uiPriority w:val="29"/>
    <w:rPr>
      <w:rFonts w:ascii="Avenir LT Std 55 Roman" w:hAnsi="Avenir LT Std 55 Roman"/>
      <w:i/>
      <w:iCs/>
      <w:color w:val="414140"/>
      <w:sz w:val="24"/>
      <w:szCs w:val="24"/>
    </w:rPr>
  </w:style>
  <w:style w:type="character" w:styleId="SubtleReference">
    <w:name w:val="Subtle Reference"/>
    <w:basedOn w:val="DefaultParagraphFont"/>
    <w:uiPriority w:val="31"/>
    <w:rsid w:val="00D765D5"/>
    <w:rPr>
      <w:rFonts w:ascii="Avenir LT Std 65 Medium" w:hAnsi="Avenir LT Std 65 Medium"/>
      <w:b w:val="0"/>
      <w:i w:val="0"/>
      <w:smallCaps/>
      <w:color w:val="5A5A5A"/>
    </w:rPr>
  </w:style>
  <w:style w:type="character" w:styleId="IntenseReference">
    <w:name w:val="Intense Reference"/>
    <w:basedOn w:val="DefaultParagraphFont"/>
    <w:uiPriority w:val="32"/>
    <w:rsid w:val="00D765D5"/>
    <w:rPr>
      <w:rFonts w:ascii="Avenir LT Std 65 Medium" w:hAnsi="Avenir LT Std 65 Medium"/>
      <w:b w:val="0"/>
      <w:bCs/>
      <w:i w:val="0"/>
      <w:smallCaps/>
      <w:color w:val="36A393"/>
      <w:spacing w:val="0"/>
    </w:rPr>
  </w:style>
  <w:style w:type="character" w:styleId="IntenseEmphasis">
    <w:name w:val="Intense Emphasis"/>
    <w:basedOn w:val="DefaultParagraphFont"/>
    <w:uiPriority w:val="21"/>
    <w:qFormat/>
    <w:rPr>
      <w:rFonts w:ascii="Avenir LT Std 65 Medium" w:hAnsi="Avenir LT Std 65 Medium"/>
      <w:b w:val="0"/>
      <w:i/>
    </w:rPr>
  </w:style>
  <w:style w:type="character" w:styleId="Strong">
    <w:name w:val="Strong"/>
    <w:basedOn w:val="IntenseEmphasis"/>
    <w:uiPriority w:val="22"/>
    <w:qFormat/>
    <w:rPr>
      <w:rFonts w:ascii="Avenir LT Std 55 Roman" w:hAnsi="Avenir LT Std 55 Roman"/>
      <w:b w:val="0"/>
      <w:i/>
    </w:rPr>
  </w:style>
  <w:style w:type="character" w:customStyle="1" w:styleId="Heading4Char">
    <w:name w:val="Heading 4 Char"/>
    <w:basedOn w:val="DefaultParagraphFont"/>
    <w:link w:val="Heading4"/>
    <w:uiPriority w:val="9"/>
    <w:rPr>
      <w:rFonts w:ascii="Avenir LT Std 55 Roman" w:eastAsia="Times New Roman" w:hAnsi="Avenir LT Std 55 Roman"/>
      <w:b/>
      <w:iCs/>
      <w:color w:val="4D4D4F"/>
      <w:sz w:val="26"/>
      <w:szCs w:val="24"/>
    </w:rPr>
  </w:style>
  <w:style w:type="character" w:customStyle="1" w:styleId="IntenseQuoteChar">
    <w:name w:val="Intense Quote Char"/>
    <w:basedOn w:val="DefaultParagraphFont"/>
    <w:link w:val="IntenseQuote"/>
    <w:uiPriority w:val="30"/>
    <w:rPr>
      <w:rFonts w:ascii="Avenir LT Std 55 Roman" w:hAnsi="Avenir LT Std 55 Roman"/>
      <w:i/>
      <w:iCs/>
      <w:color w:val="1F8BBF"/>
      <w:sz w:val="24"/>
      <w:szCs w:val="24"/>
    </w:rPr>
  </w:style>
  <w:style w:type="character" w:customStyle="1" w:styleId="Heading5Char">
    <w:name w:val="Heading 5 Char"/>
    <w:basedOn w:val="DefaultParagraphFont"/>
    <w:link w:val="Heading5"/>
    <w:uiPriority w:val="9"/>
    <w:rPr>
      <w:rFonts w:ascii="Avenir LT Std 55 Roman" w:eastAsia="Times New Roman" w:hAnsi="Avenir LT Std 55 Roman"/>
      <w:b/>
      <w:color w:val="000000"/>
      <w:sz w:val="24"/>
      <w:szCs w:val="24"/>
    </w:rPr>
  </w:style>
  <w:style w:type="character" w:customStyle="1" w:styleId="Heading6Char">
    <w:name w:val="Heading 6 Char"/>
    <w:basedOn w:val="DefaultParagraphFont"/>
    <w:link w:val="Heading6"/>
    <w:uiPriority w:val="9"/>
    <w:rPr>
      <w:rFonts w:ascii="Avenir LT Std 55 Roman" w:eastAsia="Times New Roman" w:hAnsi="Avenir LT Std 55 Roman"/>
      <w:b/>
      <w:color w:val="1A1918"/>
      <w:sz w:val="24"/>
      <w:szCs w:val="24"/>
    </w:rPr>
  </w:style>
  <w:style w:type="character" w:customStyle="1" w:styleId="Heading7Char">
    <w:name w:val="Heading 7 Char"/>
    <w:basedOn w:val="DefaultParagraphFont"/>
    <w:link w:val="Heading7"/>
    <w:uiPriority w:val="9"/>
    <w:rPr>
      <w:rFonts w:ascii="Avenir LT Std 65 Medium" w:eastAsia="Times New Roman" w:hAnsi="Avenir LT Std 65 Medium"/>
      <w:iCs/>
      <w:color w:val="000000"/>
      <w:sz w:val="24"/>
      <w:szCs w:val="24"/>
    </w:rPr>
  </w:style>
  <w:style w:type="character" w:styleId="FollowedHyperlink">
    <w:name w:val="FollowedHyperlink"/>
    <w:basedOn w:val="DefaultParagraphFont"/>
    <w:uiPriority w:val="99"/>
    <w:rsid w:val="00D765D5"/>
    <w:rPr>
      <w:rFonts w:ascii="Avenir LT Std 55 Roman" w:hAnsi="Avenir LT Std 55 Roman"/>
      <w:b w:val="0"/>
      <w:i w:val="0"/>
      <w:color w:val="1D79A7"/>
      <w:u w:val="none"/>
    </w:rPr>
  </w:style>
  <w:style w:type="character" w:customStyle="1" w:styleId="FootnoteTextChar">
    <w:name w:val="Footnote Text Char"/>
    <w:basedOn w:val="DefaultParagraphFont"/>
    <w:link w:val="FootnoteText"/>
    <w:uiPriority w:val="99"/>
    <w:rPr>
      <w:rFonts w:ascii="Avenir LT Std 55 Roman" w:hAnsi="Avenir LT Std 55 Roman"/>
    </w:rPr>
  </w:style>
  <w:style w:type="character" w:styleId="FootnoteReference">
    <w:name w:val="footnote reference"/>
    <w:basedOn w:val="DefaultParagraphFont"/>
    <w:uiPriority w:val="99"/>
    <w:rsid w:val="00D765D5"/>
    <w:rPr>
      <w:rFonts w:ascii="Avenir LT Std 55 Roman" w:hAnsi="Avenir LT Std 55 Roman"/>
      <w:b w:val="0"/>
      <w:i w:val="0"/>
      <w:vertAlign w:val="superscript"/>
    </w:rPr>
  </w:style>
  <w:style w:type="character" w:styleId="SubtleEmphasis">
    <w:name w:val="Subtle Emphasis"/>
    <w:basedOn w:val="DefaultParagraphFont"/>
    <w:uiPriority w:val="19"/>
    <w:rsid w:val="00D765D5"/>
    <w:rPr>
      <w:rFonts w:ascii="Times New Roman" w:hAnsi="Times New Roman"/>
      <w:i/>
      <w:iCs/>
      <w:color w:val="404040"/>
    </w:rPr>
  </w:style>
  <w:style w:type="character" w:styleId="Emphasis">
    <w:name w:val="Emphasis"/>
    <w:basedOn w:val="DefaultParagraphFont"/>
    <w:uiPriority w:val="20"/>
    <w:rPr>
      <w:rFonts w:ascii="Avenir LT Std 35 Light" w:hAnsi="Avenir LT Std 35 Light"/>
      <w:b w:val="0"/>
      <w:i/>
      <w:iCs/>
    </w:rPr>
  </w:style>
  <w:style w:type="character" w:styleId="BookTitle">
    <w:name w:val="Book Title"/>
    <w:basedOn w:val="DefaultParagraphFont"/>
    <w:uiPriority w:val="33"/>
    <w:rsid w:val="00D765D5"/>
    <w:rPr>
      <w:rFonts w:ascii="Avenir LT Std 55 Roman" w:hAnsi="Avenir LT Std 55 Roman"/>
      <w:b w:val="0"/>
      <w:bCs/>
      <w:i/>
      <w:iCs/>
      <w:spacing w:val="0"/>
    </w:rPr>
  </w:style>
  <w:style w:type="character" w:customStyle="1" w:styleId="EndnoteTextChar">
    <w:name w:val="Endnote Text Char"/>
    <w:basedOn w:val="DefaultParagraphFont"/>
    <w:link w:val="EndnoteText"/>
    <w:uiPriority w:val="99"/>
    <w:rPr>
      <w:rFonts w:ascii="Avenir LT Std 55 Roman" w:hAnsi="Avenir LT Std 55 Roman"/>
    </w:rPr>
  </w:style>
  <w:style w:type="character" w:styleId="EndnoteReference">
    <w:name w:val="endnote reference"/>
    <w:basedOn w:val="DefaultParagraphFont"/>
    <w:uiPriority w:val="99"/>
    <w:rsid w:val="00D765D5"/>
    <w:rPr>
      <w:rFonts w:ascii="Avenir LT Std 55 Roman" w:hAnsi="Avenir LT Std 55 Roman"/>
      <w:b w:val="0"/>
      <w:i w:val="0"/>
      <w:vertAlign w:val="superscript"/>
    </w:rPr>
  </w:style>
  <w:style w:type="character" w:customStyle="1" w:styleId="DocumentMapChar">
    <w:name w:val="Document Map Char"/>
    <w:basedOn w:val="DefaultParagraphFont"/>
    <w:link w:val="DocumentMap"/>
    <w:uiPriority w:val="99"/>
    <w:rPr>
      <w:rFonts w:ascii="Avenir LT Std 55 Roman" w:hAnsi="Avenir LT Std 55 Roman"/>
      <w:sz w:val="26"/>
      <w:szCs w:val="26"/>
    </w:rPr>
  </w:style>
  <w:style w:type="character" w:styleId="HTMLAcronym">
    <w:name w:val="HTML Acronym"/>
    <w:basedOn w:val="DefaultParagraphFont"/>
    <w:uiPriority w:val="99"/>
    <w:rsid w:val="00D765D5"/>
    <w:rPr>
      <w:rFonts w:ascii="Avenir LT Std 55 Roman" w:hAnsi="Avenir LT Std 55 Roman"/>
      <w:b w:val="0"/>
      <w:i w:val="0"/>
    </w:rPr>
  </w:style>
  <w:style w:type="character" w:customStyle="1" w:styleId="HTMLAddressChar">
    <w:name w:val="HTML Address Char"/>
    <w:basedOn w:val="DefaultParagraphFont"/>
    <w:link w:val="HTMLAddress"/>
    <w:uiPriority w:val="99"/>
    <w:rPr>
      <w:rFonts w:ascii="Avenir LT Std 55 Roman" w:hAnsi="Avenir LT Std 55 Roman"/>
      <w:i/>
      <w:iCs/>
      <w:sz w:val="24"/>
      <w:szCs w:val="24"/>
    </w:rPr>
  </w:style>
  <w:style w:type="character" w:styleId="HTMLCite">
    <w:name w:val="HTML Cite"/>
    <w:basedOn w:val="DefaultParagraphFont"/>
    <w:uiPriority w:val="99"/>
    <w:rsid w:val="00D765D5"/>
    <w:rPr>
      <w:rFonts w:ascii="Avenir LT Std 55 Roman" w:hAnsi="Avenir LT Std 55 Roman"/>
      <w:b w:val="0"/>
      <w:i/>
      <w:iCs/>
    </w:rPr>
  </w:style>
  <w:style w:type="character" w:styleId="HTMLCode">
    <w:name w:val="HTML Code"/>
    <w:basedOn w:val="DefaultParagraphFont"/>
    <w:uiPriority w:val="99"/>
    <w:rsid w:val="00D765D5"/>
    <w:rPr>
      <w:rFonts w:ascii="Consolas" w:hAnsi="Consolas" w:cs="Consolas"/>
      <w:b w:val="0"/>
      <w:i w:val="0"/>
      <w:sz w:val="20"/>
      <w:szCs w:val="20"/>
    </w:rPr>
  </w:style>
  <w:style w:type="character" w:styleId="HTMLDefinition">
    <w:name w:val="HTML Definition"/>
    <w:basedOn w:val="DefaultParagraphFont"/>
    <w:uiPriority w:val="99"/>
    <w:rsid w:val="00D765D5"/>
    <w:rPr>
      <w:rFonts w:ascii="Avenir LT Std 55 Roman" w:hAnsi="Avenir LT Std 55 Roman"/>
      <w:b w:val="0"/>
      <w:i/>
      <w:iCs/>
    </w:rPr>
  </w:style>
  <w:style w:type="character" w:customStyle="1" w:styleId="MessageHeaderChar">
    <w:name w:val="Message Header Char"/>
    <w:basedOn w:val="DefaultParagraphFont"/>
    <w:link w:val="MessageHeader"/>
    <w:uiPriority w:val="99"/>
    <w:rPr>
      <w:rFonts w:ascii="Avenir LT Std 55 Roman" w:eastAsia="Times New Roman" w:hAnsi="Avenir LT Std 55 Roman"/>
      <w:b/>
      <w:sz w:val="24"/>
      <w:szCs w:val="24"/>
      <w:shd w:val="solid" w:color="CCCCCC" w:fill="auto"/>
    </w:rPr>
  </w:style>
  <w:style w:type="character" w:customStyle="1" w:styleId="BalloonTextChar">
    <w:name w:val="Balloon Text Char"/>
    <w:basedOn w:val="DefaultParagraphFont"/>
    <w:link w:val="BalloonText"/>
    <w:uiPriority w:val="99"/>
    <w:rPr>
      <w:szCs w:val="18"/>
    </w:rPr>
  </w:style>
  <w:style w:type="character" w:customStyle="1" w:styleId="Hashtag1">
    <w:name w:val="Hashtag1"/>
    <w:basedOn w:val="Hyperlink"/>
    <w:uiPriority w:val="99"/>
    <w:rsid w:val="00D765D5"/>
    <w:rPr>
      <w:rFonts w:ascii="Avenir LT Std 55 Roman" w:hAnsi="Avenir LT Std 55 Roman"/>
      <w:b w:val="0"/>
      <w:i/>
      <w:color w:val="1B74A0"/>
      <w:u w:val="none"/>
      <w:shd w:val="clear" w:color="auto" w:fill="E1DFDD"/>
    </w:rPr>
  </w:style>
  <w:style w:type="character" w:customStyle="1" w:styleId="Mention1">
    <w:name w:val="Mention1"/>
    <w:basedOn w:val="Hyperlink"/>
    <w:uiPriority w:val="99"/>
    <w:rsid w:val="00D765D5"/>
    <w:rPr>
      <w:rFonts w:ascii="Avenir LT Std 55 Roman" w:hAnsi="Avenir LT Std 55 Roman"/>
      <w:b w:val="0"/>
      <w:i/>
      <w:color w:val="1B74A0"/>
      <w:u w:val="none"/>
      <w:shd w:val="clear" w:color="auto" w:fill="E1DFDD"/>
    </w:rPr>
  </w:style>
  <w:style w:type="character" w:customStyle="1" w:styleId="SmartLink1">
    <w:name w:val="SmartLink1"/>
    <w:basedOn w:val="Hyperlink"/>
    <w:uiPriority w:val="99"/>
    <w:rsid w:val="00D765D5"/>
    <w:rPr>
      <w:rFonts w:ascii="Avenir LT Std 55 Roman" w:hAnsi="Avenir LT Std 55 Roman"/>
      <w:b w:val="0"/>
      <w:i/>
      <w:color w:val="1B74A0"/>
      <w:u w:val="none"/>
      <w:shd w:val="clear" w:color="auto" w:fill="F3F2F1"/>
    </w:rPr>
  </w:style>
  <w:style w:type="character" w:customStyle="1" w:styleId="SmartHyperlink1">
    <w:name w:val="Smart Hyperlink1"/>
    <w:basedOn w:val="Hyperlink"/>
    <w:uiPriority w:val="99"/>
    <w:rsid w:val="00D765D5"/>
    <w:rPr>
      <w:rFonts w:ascii="Avenir LT Std 55 Roman" w:hAnsi="Avenir LT Std 55 Roman"/>
      <w:b w:val="0"/>
      <w:i/>
      <w:color w:val="1B74A0"/>
      <w:u w:val="none"/>
    </w:rPr>
  </w:style>
  <w:style w:type="character" w:styleId="PlaceholderText">
    <w:name w:val="Placeholder Text"/>
    <w:basedOn w:val="DefaultParagraphFont"/>
    <w:uiPriority w:val="99"/>
    <w:rsid w:val="00D765D5"/>
    <w:rPr>
      <w:rFonts w:ascii="Times New Roman" w:hAnsi="Times New Roman"/>
      <w:color w:val="808080"/>
    </w:rPr>
  </w:style>
  <w:style w:type="character" w:customStyle="1" w:styleId="BodyText3Char">
    <w:name w:val="Body Text 3 Char"/>
    <w:basedOn w:val="DefaultParagraphFont"/>
    <w:link w:val="BodyText3"/>
    <w:uiPriority w:val="99"/>
    <w:rPr>
      <w:rFonts w:ascii="Avenir LT Std 55 Roman" w:hAnsi="Avenir LT Std 55 Roman"/>
      <w:sz w:val="16"/>
      <w:szCs w:val="16"/>
    </w:rPr>
  </w:style>
  <w:style w:type="character" w:customStyle="1" w:styleId="BodyText2Char">
    <w:name w:val="Body Text 2 Char"/>
    <w:basedOn w:val="DefaultParagraphFont"/>
    <w:link w:val="BodyText2"/>
    <w:uiPriority w:val="99"/>
    <w:rPr>
      <w:rFonts w:ascii="Avenir LT Std 55 Roman" w:hAnsi="Avenir LT Std 55 Roman"/>
      <w:sz w:val="24"/>
      <w:szCs w:val="24"/>
    </w:rPr>
  </w:style>
  <w:style w:type="character" w:customStyle="1" w:styleId="BodyTextIndent3Char">
    <w:name w:val="Body Text Indent 3 Char"/>
    <w:basedOn w:val="DefaultParagraphFont"/>
    <w:link w:val="BodyTextIndent3"/>
    <w:uiPriority w:val="99"/>
    <w:rPr>
      <w:rFonts w:ascii="Avenir LT Std 55 Roman" w:hAnsi="Avenir LT Std 55 Roman"/>
      <w:szCs w:val="16"/>
    </w:rPr>
  </w:style>
  <w:style w:type="character" w:customStyle="1" w:styleId="normaltextrun">
    <w:name w:val="normaltextrun"/>
    <w:basedOn w:val="DefaultParagraphFont"/>
  </w:style>
  <w:style w:type="character" w:customStyle="1" w:styleId="CommentReference1">
    <w:name w:val="Comment Reference1"/>
    <w:basedOn w:val="DefaultParagraphFont"/>
    <w:rPr>
      <w:sz w:val="16"/>
      <w:szCs w:val="16"/>
    </w:rPr>
  </w:style>
  <w:style w:type="character" w:customStyle="1" w:styleId="CommentTextChar">
    <w:name w:val="Comment Text Char"/>
    <w:basedOn w:val="DefaultParagraphFont"/>
    <w:link w:val="CommentText"/>
    <w:uiPriority w:val="99"/>
    <w:rPr>
      <w:rFonts w:ascii="Avenir LT Std 55 Roman" w:hAnsi="Avenir LT Std 55 Roman"/>
    </w:rPr>
  </w:style>
  <w:style w:type="character" w:customStyle="1" w:styleId="Mention2">
    <w:name w:val="Mention2"/>
    <w:basedOn w:val="DefaultParagraphFont"/>
    <w:rPr>
      <w:color w:val="2B579A"/>
      <w:shd w:val="clear" w:color="auto" w:fill="E6E6E6"/>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link w:val="CommentSubject"/>
    <w:uiPriority w:val="99"/>
    <w:rPr>
      <w:rFonts w:ascii="Avenir LT Std 55 Roman" w:hAnsi="Avenir LT Std 55 Roman"/>
      <w:b/>
      <w:bCs/>
    </w:rPr>
  </w:style>
  <w:style w:type="character" w:customStyle="1" w:styleId="date-range">
    <w:name w:val="date-range"/>
    <w:basedOn w:val="DefaultParagraphFont"/>
  </w:style>
  <w:style w:type="character" w:customStyle="1" w:styleId="apple-converted-space">
    <w:name w:val="apple-converted-space"/>
    <w:basedOn w:val="DefaultParagraphFont"/>
  </w:style>
  <w:style w:type="character" w:customStyle="1" w:styleId="date-rangeduration">
    <w:name w:val="date-range__duration"/>
    <w:basedOn w:val="DefaultParagraphFont"/>
  </w:style>
  <w:style w:type="character" w:customStyle="1" w:styleId="educationitem">
    <w:name w:val="education__item"/>
    <w:basedOn w:val="DefaultParagraphFont"/>
  </w:style>
  <w:style w:type="character" w:customStyle="1" w:styleId="screen-reader-text">
    <w:name w:val="screen-reader-text"/>
    <w:basedOn w:val="DefaultParagraphFont"/>
  </w:style>
  <w:style w:type="character" w:customStyle="1" w:styleId="personal-projectsubtitle-item">
    <w:name w:val="personal-project__subtitle-item"/>
    <w:basedOn w:val="DefaultParagraphFont"/>
  </w:style>
  <w:style w:type="character" w:customStyle="1" w:styleId="HeaderChar">
    <w:name w:val="Header Char"/>
    <w:basedOn w:val="DefaultParagraphFont"/>
    <w:link w:val="Header"/>
    <w:uiPriority w:val="99"/>
    <w:rPr>
      <w:rFonts w:ascii="Avenir LT Std 55 Roman" w:hAnsi="Avenir LT Std 55 Roman" w:cs="Yu Gothic UI"/>
      <w:b/>
      <w:color w:val="000000"/>
      <w:sz w:val="24"/>
      <w:szCs w:val="24"/>
      <w:u w:color="000000"/>
    </w:rPr>
  </w:style>
  <w:style w:type="character" w:styleId="CommentReference">
    <w:name w:val="annotation reference"/>
    <w:basedOn w:val="DefaultParagraphFont"/>
    <w:uiPriority w:val="99"/>
    <w:rsid w:val="00D765D5"/>
    <w:rPr>
      <w:sz w:val="16"/>
      <w:szCs w:val="16"/>
    </w:rPr>
  </w:style>
  <w:style w:type="character" w:styleId="Mention">
    <w:name w:val="Mention"/>
    <w:basedOn w:val="DefaultParagraphFont"/>
    <w:uiPriority w:val="99"/>
    <w:unhideWhenUsed/>
    <w:rsid w:val="00D765D5"/>
    <w:rPr>
      <w:color w:val="2B579A"/>
      <w:shd w:val="clear" w:color="auto" w:fill="E6E6E6"/>
    </w:rPr>
  </w:style>
  <w:style w:type="character" w:styleId="UnresolvedMention">
    <w:name w:val="Unresolved Mention"/>
    <w:basedOn w:val="DefaultParagraphFont"/>
    <w:uiPriority w:val="99"/>
    <w:unhideWhenUsed/>
    <w:rsid w:val="00D765D5"/>
    <w:rPr>
      <w:color w:val="605E5C"/>
      <w:shd w:val="clear" w:color="auto" w:fill="E1DFDD"/>
    </w:rPr>
  </w:style>
  <w:style w:type="paragraph" w:customStyle="1" w:styleId="TableParagraph">
    <w:name w:val="Table Paragraph"/>
    <w:basedOn w:val="Normal"/>
    <w:uiPriority w:val="1"/>
    <w:qFormat/>
    <w:rsid w:val="00240684"/>
    <w:pPr>
      <w:widowControl w:val="0"/>
      <w:autoSpaceDE w:val="0"/>
      <w:autoSpaceDN w:val="0"/>
      <w:spacing w:before="0" w:after="0"/>
    </w:pPr>
    <w:rPr>
      <w:rFonts w:ascii="Arial" w:eastAsia="Arial" w:hAnsi="Arial" w:cs="Arial"/>
      <w:sz w:val="22"/>
      <w:szCs w:val="22"/>
    </w:rPr>
  </w:style>
  <w:style w:type="table" w:styleId="TableGrid">
    <w:name w:val="Table Grid"/>
    <w:basedOn w:val="TableNormal"/>
    <w:rsid w:val="00240684"/>
    <w:pPr>
      <w:spacing w:before="0"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240684"/>
    <w:pPr>
      <w:spacing w:before="0" w:after="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240684"/>
  </w:style>
  <w:style w:type="table" w:styleId="ListTable4-Accent1">
    <w:name w:val="List Table 4 Accent 1"/>
    <w:basedOn w:val="TableNormal"/>
    <w:uiPriority w:val="49"/>
    <w:rsid w:val="00240684"/>
    <w:pPr>
      <w:spacing w:before="0" w:after="0"/>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8779">
      <w:bodyDiv w:val="1"/>
      <w:marLeft w:val="0"/>
      <w:marRight w:val="0"/>
      <w:marTop w:val="0"/>
      <w:marBottom w:val="0"/>
      <w:divBdr>
        <w:top w:val="none" w:sz="0" w:space="0" w:color="auto"/>
        <w:left w:val="none" w:sz="0" w:space="0" w:color="auto"/>
        <w:bottom w:val="none" w:sz="0" w:space="0" w:color="auto"/>
        <w:right w:val="none" w:sz="0" w:space="0" w:color="auto"/>
      </w:divBdr>
    </w:div>
    <w:div w:id="277495331">
      <w:bodyDiv w:val="1"/>
      <w:marLeft w:val="0"/>
      <w:marRight w:val="0"/>
      <w:marTop w:val="0"/>
      <w:marBottom w:val="0"/>
      <w:divBdr>
        <w:top w:val="none" w:sz="0" w:space="0" w:color="auto"/>
        <w:left w:val="none" w:sz="0" w:space="0" w:color="auto"/>
        <w:bottom w:val="none" w:sz="0" w:space="0" w:color="auto"/>
        <w:right w:val="none" w:sz="0" w:space="0" w:color="auto"/>
      </w:divBdr>
    </w:div>
    <w:div w:id="600182829">
      <w:bodyDiv w:val="1"/>
      <w:marLeft w:val="0"/>
      <w:marRight w:val="0"/>
      <w:marTop w:val="0"/>
      <w:marBottom w:val="0"/>
      <w:divBdr>
        <w:top w:val="none" w:sz="0" w:space="0" w:color="auto"/>
        <w:left w:val="none" w:sz="0" w:space="0" w:color="auto"/>
        <w:bottom w:val="none" w:sz="0" w:space="0" w:color="auto"/>
        <w:right w:val="none" w:sz="0" w:space="0" w:color="auto"/>
      </w:divBdr>
      <w:divsChild>
        <w:div w:id="49354328">
          <w:marLeft w:val="0"/>
          <w:marRight w:val="0"/>
          <w:marTop w:val="0"/>
          <w:marBottom w:val="0"/>
          <w:divBdr>
            <w:top w:val="none" w:sz="0" w:space="0" w:color="auto"/>
            <w:left w:val="none" w:sz="0" w:space="0" w:color="auto"/>
            <w:bottom w:val="none" w:sz="0" w:space="0" w:color="auto"/>
            <w:right w:val="none" w:sz="0" w:space="0" w:color="auto"/>
          </w:divBdr>
        </w:div>
        <w:div w:id="108551657">
          <w:marLeft w:val="0"/>
          <w:marRight w:val="0"/>
          <w:marTop w:val="0"/>
          <w:marBottom w:val="0"/>
          <w:divBdr>
            <w:top w:val="none" w:sz="0" w:space="0" w:color="auto"/>
            <w:left w:val="none" w:sz="0" w:space="0" w:color="auto"/>
            <w:bottom w:val="none" w:sz="0" w:space="0" w:color="auto"/>
            <w:right w:val="none" w:sz="0" w:space="0" w:color="auto"/>
          </w:divBdr>
        </w:div>
        <w:div w:id="231701380">
          <w:marLeft w:val="0"/>
          <w:marRight w:val="0"/>
          <w:marTop w:val="0"/>
          <w:marBottom w:val="0"/>
          <w:divBdr>
            <w:top w:val="none" w:sz="0" w:space="0" w:color="auto"/>
            <w:left w:val="none" w:sz="0" w:space="0" w:color="auto"/>
            <w:bottom w:val="none" w:sz="0" w:space="0" w:color="auto"/>
            <w:right w:val="none" w:sz="0" w:space="0" w:color="auto"/>
          </w:divBdr>
        </w:div>
        <w:div w:id="478419389">
          <w:marLeft w:val="0"/>
          <w:marRight w:val="0"/>
          <w:marTop w:val="0"/>
          <w:marBottom w:val="0"/>
          <w:divBdr>
            <w:top w:val="none" w:sz="0" w:space="0" w:color="auto"/>
            <w:left w:val="none" w:sz="0" w:space="0" w:color="auto"/>
            <w:bottom w:val="none" w:sz="0" w:space="0" w:color="auto"/>
            <w:right w:val="none" w:sz="0" w:space="0" w:color="auto"/>
          </w:divBdr>
        </w:div>
        <w:div w:id="661198651">
          <w:marLeft w:val="0"/>
          <w:marRight w:val="0"/>
          <w:marTop w:val="0"/>
          <w:marBottom w:val="0"/>
          <w:divBdr>
            <w:top w:val="none" w:sz="0" w:space="0" w:color="auto"/>
            <w:left w:val="none" w:sz="0" w:space="0" w:color="auto"/>
            <w:bottom w:val="none" w:sz="0" w:space="0" w:color="auto"/>
            <w:right w:val="none" w:sz="0" w:space="0" w:color="auto"/>
          </w:divBdr>
        </w:div>
        <w:div w:id="786237348">
          <w:marLeft w:val="0"/>
          <w:marRight w:val="0"/>
          <w:marTop w:val="0"/>
          <w:marBottom w:val="0"/>
          <w:divBdr>
            <w:top w:val="none" w:sz="0" w:space="0" w:color="auto"/>
            <w:left w:val="none" w:sz="0" w:space="0" w:color="auto"/>
            <w:bottom w:val="none" w:sz="0" w:space="0" w:color="auto"/>
            <w:right w:val="none" w:sz="0" w:space="0" w:color="auto"/>
          </w:divBdr>
        </w:div>
        <w:div w:id="997537914">
          <w:marLeft w:val="0"/>
          <w:marRight w:val="0"/>
          <w:marTop w:val="0"/>
          <w:marBottom w:val="0"/>
          <w:divBdr>
            <w:top w:val="none" w:sz="0" w:space="0" w:color="auto"/>
            <w:left w:val="none" w:sz="0" w:space="0" w:color="auto"/>
            <w:bottom w:val="none" w:sz="0" w:space="0" w:color="auto"/>
            <w:right w:val="none" w:sz="0" w:space="0" w:color="auto"/>
          </w:divBdr>
        </w:div>
        <w:div w:id="1030110758">
          <w:marLeft w:val="0"/>
          <w:marRight w:val="0"/>
          <w:marTop w:val="0"/>
          <w:marBottom w:val="0"/>
          <w:divBdr>
            <w:top w:val="none" w:sz="0" w:space="0" w:color="auto"/>
            <w:left w:val="none" w:sz="0" w:space="0" w:color="auto"/>
            <w:bottom w:val="none" w:sz="0" w:space="0" w:color="auto"/>
            <w:right w:val="none" w:sz="0" w:space="0" w:color="auto"/>
          </w:divBdr>
        </w:div>
        <w:div w:id="1175533438">
          <w:marLeft w:val="0"/>
          <w:marRight w:val="0"/>
          <w:marTop w:val="0"/>
          <w:marBottom w:val="0"/>
          <w:divBdr>
            <w:top w:val="none" w:sz="0" w:space="0" w:color="auto"/>
            <w:left w:val="none" w:sz="0" w:space="0" w:color="auto"/>
            <w:bottom w:val="none" w:sz="0" w:space="0" w:color="auto"/>
            <w:right w:val="none" w:sz="0" w:space="0" w:color="auto"/>
          </w:divBdr>
        </w:div>
        <w:div w:id="1283997123">
          <w:marLeft w:val="0"/>
          <w:marRight w:val="0"/>
          <w:marTop w:val="0"/>
          <w:marBottom w:val="0"/>
          <w:divBdr>
            <w:top w:val="none" w:sz="0" w:space="0" w:color="auto"/>
            <w:left w:val="none" w:sz="0" w:space="0" w:color="auto"/>
            <w:bottom w:val="none" w:sz="0" w:space="0" w:color="auto"/>
            <w:right w:val="none" w:sz="0" w:space="0" w:color="auto"/>
          </w:divBdr>
        </w:div>
        <w:div w:id="1362588594">
          <w:marLeft w:val="0"/>
          <w:marRight w:val="0"/>
          <w:marTop w:val="0"/>
          <w:marBottom w:val="0"/>
          <w:divBdr>
            <w:top w:val="none" w:sz="0" w:space="0" w:color="auto"/>
            <w:left w:val="none" w:sz="0" w:space="0" w:color="auto"/>
            <w:bottom w:val="none" w:sz="0" w:space="0" w:color="auto"/>
            <w:right w:val="none" w:sz="0" w:space="0" w:color="auto"/>
          </w:divBdr>
        </w:div>
        <w:div w:id="1382048043">
          <w:marLeft w:val="0"/>
          <w:marRight w:val="0"/>
          <w:marTop w:val="0"/>
          <w:marBottom w:val="0"/>
          <w:divBdr>
            <w:top w:val="none" w:sz="0" w:space="0" w:color="auto"/>
            <w:left w:val="none" w:sz="0" w:space="0" w:color="auto"/>
            <w:bottom w:val="none" w:sz="0" w:space="0" w:color="auto"/>
            <w:right w:val="none" w:sz="0" w:space="0" w:color="auto"/>
          </w:divBdr>
        </w:div>
        <w:div w:id="1941375194">
          <w:marLeft w:val="0"/>
          <w:marRight w:val="0"/>
          <w:marTop w:val="0"/>
          <w:marBottom w:val="0"/>
          <w:divBdr>
            <w:top w:val="none" w:sz="0" w:space="0" w:color="auto"/>
            <w:left w:val="none" w:sz="0" w:space="0" w:color="auto"/>
            <w:bottom w:val="none" w:sz="0" w:space="0" w:color="auto"/>
            <w:right w:val="none" w:sz="0" w:space="0" w:color="auto"/>
          </w:divBdr>
        </w:div>
      </w:divsChild>
    </w:div>
    <w:div w:id="640379271">
      <w:bodyDiv w:val="1"/>
      <w:marLeft w:val="0"/>
      <w:marRight w:val="0"/>
      <w:marTop w:val="0"/>
      <w:marBottom w:val="0"/>
      <w:divBdr>
        <w:top w:val="none" w:sz="0" w:space="0" w:color="auto"/>
        <w:left w:val="none" w:sz="0" w:space="0" w:color="auto"/>
        <w:bottom w:val="none" w:sz="0" w:space="0" w:color="auto"/>
        <w:right w:val="none" w:sz="0" w:space="0" w:color="auto"/>
      </w:divBdr>
    </w:div>
    <w:div w:id="794564733">
      <w:bodyDiv w:val="1"/>
      <w:marLeft w:val="0"/>
      <w:marRight w:val="0"/>
      <w:marTop w:val="0"/>
      <w:marBottom w:val="0"/>
      <w:divBdr>
        <w:top w:val="none" w:sz="0" w:space="0" w:color="auto"/>
        <w:left w:val="none" w:sz="0" w:space="0" w:color="auto"/>
        <w:bottom w:val="none" w:sz="0" w:space="0" w:color="auto"/>
        <w:right w:val="none" w:sz="0" w:space="0" w:color="auto"/>
      </w:divBdr>
      <w:divsChild>
        <w:div w:id="324862596">
          <w:marLeft w:val="0"/>
          <w:marRight w:val="0"/>
          <w:marTop w:val="0"/>
          <w:marBottom w:val="0"/>
          <w:divBdr>
            <w:top w:val="none" w:sz="0" w:space="0" w:color="auto"/>
            <w:left w:val="none" w:sz="0" w:space="0" w:color="auto"/>
            <w:bottom w:val="none" w:sz="0" w:space="0" w:color="auto"/>
            <w:right w:val="none" w:sz="0" w:space="0" w:color="auto"/>
          </w:divBdr>
          <w:divsChild>
            <w:div w:id="36397315">
              <w:marLeft w:val="0"/>
              <w:marRight w:val="0"/>
              <w:marTop w:val="0"/>
              <w:marBottom w:val="0"/>
              <w:divBdr>
                <w:top w:val="none" w:sz="0" w:space="0" w:color="auto"/>
                <w:left w:val="none" w:sz="0" w:space="0" w:color="auto"/>
                <w:bottom w:val="none" w:sz="0" w:space="0" w:color="auto"/>
                <w:right w:val="none" w:sz="0" w:space="0" w:color="auto"/>
              </w:divBdr>
              <w:divsChild>
                <w:div w:id="944002551">
                  <w:marLeft w:val="0"/>
                  <w:marRight w:val="0"/>
                  <w:marTop w:val="0"/>
                  <w:marBottom w:val="0"/>
                  <w:divBdr>
                    <w:top w:val="none" w:sz="0" w:space="0" w:color="auto"/>
                    <w:left w:val="none" w:sz="0" w:space="0" w:color="auto"/>
                    <w:bottom w:val="none" w:sz="0" w:space="0" w:color="auto"/>
                    <w:right w:val="none" w:sz="0" w:space="0" w:color="auto"/>
                  </w:divBdr>
                </w:div>
                <w:div w:id="1433937593">
                  <w:marLeft w:val="0"/>
                  <w:marRight w:val="60"/>
                  <w:marTop w:val="0"/>
                  <w:marBottom w:val="0"/>
                  <w:divBdr>
                    <w:top w:val="none" w:sz="0" w:space="0" w:color="auto"/>
                    <w:left w:val="none" w:sz="0" w:space="0" w:color="auto"/>
                    <w:bottom w:val="none" w:sz="0" w:space="0" w:color="auto"/>
                    <w:right w:val="none" w:sz="0" w:space="0" w:color="auto"/>
                  </w:divBdr>
                </w:div>
              </w:divsChild>
            </w:div>
            <w:div w:id="190606457">
              <w:marLeft w:val="0"/>
              <w:marRight w:val="0"/>
              <w:marTop w:val="0"/>
              <w:marBottom w:val="0"/>
              <w:divBdr>
                <w:top w:val="none" w:sz="0" w:space="0" w:color="auto"/>
                <w:left w:val="none" w:sz="0" w:space="0" w:color="auto"/>
                <w:bottom w:val="none" w:sz="0" w:space="0" w:color="auto"/>
                <w:right w:val="none" w:sz="0" w:space="0" w:color="auto"/>
              </w:divBdr>
              <w:divsChild>
                <w:div w:id="561063222">
                  <w:marLeft w:val="0"/>
                  <w:marRight w:val="0"/>
                  <w:marTop w:val="0"/>
                  <w:marBottom w:val="0"/>
                  <w:divBdr>
                    <w:top w:val="none" w:sz="0" w:space="0" w:color="auto"/>
                    <w:left w:val="none" w:sz="0" w:space="0" w:color="auto"/>
                    <w:bottom w:val="none" w:sz="0" w:space="0" w:color="auto"/>
                    <w:right w:val="none" w:sz="0" w:space="0" w:color="auto"/>
                  </w:divBdr>
                  <w:divsChild>
                    <w:div w:id="1621181068">
                      <w:marLeft w:val="0"/>
                      <w:marRight w:val="0"/>
                      <w:marTop w:val="0"/>
                      <w:marBottom w:val="0"/>
                      <w:divBdr>
                        <w:top w:val="none" w:sz="0" w:space="0" w:color="auto"/>
                        <w:left w:val="none" w:sz="0" w:space="0" w:color="auto"/>
                        <w:bottom w:val="none" w:sz="0" w:space="0" w:color="auto"/>
                        <w:right w:val="none" w:sz="0" w:space="0" w:color="auto"/>
                      </w:divBdr>
                      <w:divsChild>
                        <w:div w:id="9090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21658">
              <w:marLeft w:val="0"/>
              <w:marRight w:val="0"/>
              <w:marTop w:val="0"/>
              <w:marBottom w:val="0"/>
              <w:divBdr>
                <w:top w:val="none" w:sz="0" w:space="0" w:color="auto"/>
                <w:left w:val="none" w:sz="0" w:space="0" w:color="auto"/>
                <w:bottom w:val="none" w:sz="0" w:space="0" w:color="auto"/>
                <w:right w:val="none" w:sz="0" w:space="0" w:color="auto"/>
              </w:divBdr>
              <w:divsChild>
                <w:div w:id="1834370150">
                  <w:marLeft w:val="0"/>
                  <w:marRight w:val="0"/>
                  <w:marTop w:val="0"/>
                  <w:marBottom w:val="0"/>
                  <w:divBdr>
                    <w:top w:val="none" w:sz="0" w:space="0" w:color="auto"/>
                    <w:left w:val="none" w:sz="0" w:space="0" w:color="auto"/>
                    <w:bottom w:val="none" w:sz="0" w:space="0" w:color="auto"/>
                    <w:right w:val="none" w:sz="0" w:space="0" w:color="auto"/>
                  </w:divBdr>
                </w:div>
              </w:divsChild>
            </w:div>
            <w:div w:id="764886053">
              <w:marLeft w:val="0"/>
              <w:marRight w:val="0"/>
              <w:marTop w:val="0"/>
              <w:marBottom w:val="0"/>
              <w:divBdr>
                <w:top w:val="none" w:sz="0" w:space="0" w:color="auto"/>
                <w:left w:val="none" w:sz="0" w:space="0" w:color="auto"/>
                <w:bottom w:val="none" w:sz="0" w:space="0" w:color="auto"/>
                <w:right w:val="none" w:sz="0" w:space="0" w:color="auto"/>
              </w:divBdr>
              <w:divsChild>
                <w:div w:id="866528584">
                  <w:marLeft w:val="0"/>
                  <w:marRight w:val="0"/>
                  <w:marTop w:val="0"/>
                  <w:marBottom w:val="0"/>
                  <w:divBdr>
                    <w:top w:val="none" w:sz="0" w:space="0" w:color="auto"/>
                    <w:left w:val="none" w:sz="0" w:space="0" w:color="auto"/>
                    <w:bottom w:val="none" w:sz="0" w:space="0" w:color="auto"/>
                    <w:right w:val="none" w:sz="0" w:space="0" w:color="auto"/>
                  </w:divBdr>
                </w:div>
                <w:div w:id="962804085">
                  <w:marLeft w:val="0"/>
                  <w:marRight w:val="60"/>
                  <w:marTop w:val="0"/>
                  <w:marBottom w:val="0"/>
                  <w:divBdr>
                    <w:top w:val="none" w:sz="0" w:space="0" w:color="auto"/>
                    <w:left w:val="none" w:sz="0" w:space="0" w:color="auto"/>
                    <w:bottom w:val="none" w:sz="0" w:space="0" w:color="auto"/>
                    <w:right w:val="none" w:sz="0" w:space="0" w:color="auto"/>
                  </w:divBdr>
                </w:div>
              </w:divsChild>
            </w:div>
            <w:div w:id="890387367">
              <w:marLeft w:val="0"/>
              <w:marRight w:val="0"/>
              <w:marTop w:val="0"/>
              <w:marBottom w:val="0"/>
              <w:divBdr>
                <w:top w:val="none" w:sz="0" w:space="0" w:color="auto"/>
                <w:left w:val="none" w:sz="0" w:space="0" w:color="auto"/>
                <w:bottom w:val="none" w:sz="0" w:space="0" w:color="auto"/>
                <w:right w:val="none" w:sz="0" w:space="0" w:color="auto"/>
              </w:divBdr>
              <w:divsChild>
                <w:div w:id="1772968561">
                  <w:marLeft w:val="0"/>
                  <w:marRight w:val="0"/>
                  <w:marTop w:val="0"/>
                  <w:marBottom w:val="0"/>
                  <w:divBdr>
                    <w:top w:val="none" w:sz="0" w:space="0" w:color="auto"/>
                    <w:left w:val="none" w:sz="0" w:space="0" w:color="auto"/>
                    <w:bottom w:val="none" w:sz="0" w:space="0" w:color="auto"/>
                    <w:right w:val="none" w:sz="0" w:space="0" w:color="auto"/>
                  </w:divBdr>
                  <w:divsChild>
                    <w:div w:id="1995984757">
                      <w:marLeft w:val="0"/>
                      <w:marRight w:val="0"/>
                      <w:marTop w:val="0"/>
                      <w:marBottom w:val="0"/>
                      <w:divBdr>
                        <w:top w:val="none" w:sz="0" w:space="0" w:color="auto"/>
                        <w:left w:val="none" w:sz="0" w:space="0" w:color="auto"/>
                        <w:bottom w:val="none" w:sz="0" w:space="0" w:color="auto"/>
                        <w:right w:val="none" w:sz="0" w:space="0" w:color="auto"/>
                      </w:divBdr>
                      <w:divsChild>
                        <w:div w:id="9803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49195">
              <w:marLeft w:val="-75"/>
              <w:marRight w:val="0"/>
              <w:marTop w:val="0"/>
              <w:marBottom w:val="0"/>
              <w:divBdr>
                <w:top w:val="none" w:sz="0" w:space="0" w:color="auto"/>
                <w:left w:val="single" w:sz="12" w:space="0" w:color="E9E9E9"/>
                <w:bottom w:val="none" w:sz="0" w:space="0" w:color="auto"/>
                <w:right w:val="none" w:sz="0" w:space="0" w:color="auto"/>
              </w:divBdr>
              <w:divsChild>
                <w:div w:id="453446525">
                  <w:marLeft w:val="0"/>
                  <w:marRight w:val="0"/>
                  <w:marTop w:val="0"/>
                  <w:marBottom w:val="0"/>
                  <w:divBdr>
                    <w:top w:val="none" w:sz="0" w:space="0" w:color="auto"/>
                    <w:left w:val="none" w:sz="0" w:space="0" w:color="auto"/>
                    <w:bottom w:val="none" w:sz="0" w:space="0" w:color="auto"/>
                    <w:right w:val="none" w:sz="0" w:space="0" w:color="auto"/>
                  </w:divBdr>
                  <w:divsChild>
                    <w:div w:id="1770586937">
                      <w:marLeft w:val="0"/>
                      <w:marRight w:val="0"/>
                      <w:marTop w:val="0"/>
                      <w:marBottom w:val="0"/>
                      <w:divBdr>
                        <w:top w:val="none" w:sz="0" w:space="0" w:color="auto"/>
                        <w:left w:val="none" w:sz="0" w:space="0" w:color="auto"/>
                        <w:bottom w:val="none" w:sz="0" w:space="0" w:color="auto"/>
                        <w:right w:val="none" w:sz="0" w:space="0" w:color="auto"/>
                      </w:divBdr>
                      <w:divsChild>
                        <w:div w:id="19089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62091">
              <w:marLeft w:val="0"/>
              <w:marRight w:val="0"/>
              <w:marTop w:val="0"/>
              <w:marBottom w:val="0"/>
              <w:divBdr>
                <w:top w:val="none" w:sz="0" w:space="0" w:color="auto"/>
                <w:left w:val="none" w:sz="0" w:space="0" w:color="auto"/>
                <w:bottom w:val="none" w:sz="0" w:space="0" w:color="auto"/>
                <w:right w:val="none" w:sz="0" w:space="0" w:color="auto"/>
              </w:divBdr>
              <w:divsChild>
                <w:div w:id="1165970013">
                  <w:marLeft w:val="0"/>
                  <w:marRight w:val="0"/>
                  <w:marTop w:val="0"/>
                  <w:marBottom w:val="0"/>
                  <w:divBdr>
                    <w:top w:val="none" w:sz="0" w:space="0" w:color="auto"/>
                    <w:left w:val="none" w:sz="0" w:space="0" w:color="auto"/>
                    <w:bottom w:val="none" w:sz="0" w:space="0" w:color="auto"/>
                    <w:right w:val="none" w:sz="0" w:space="0" w:color="auto"/>
                  </w:divBdr>
                  <w:divsChild>
                    <w:div w:id="1583682933">
                      <w:marLeft w:val="0"/>
                      <w:marRight w:val="0"/>
                      <w:marTop w:val="0"/>
                      <w:marBottom w:val="0"/>
                      <w:divBdr>
                        <w:top w:val="none" w:sz="0" w:space="0" w:color="auto"/>
                        <w:left w:val="none" w:sz="0" w:space="0" w:color="auto"/>
                        <w:bottom w:val="none" w:sz="0" w:space="0" w:color="auto"/>
                        <w:right w:val="none" w:sz="0" w:space="0" w:color="auto"/>
                      </w:divBdr>
                      <w:divsChild>
                        <w:div w:id="36224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274232">
              <w:marLeft w:val="-75"/>
              <w:marRight w:val="0"/>
              <w:marTop w:val="0"/>
              <w:marBottom w:val="0"/>
              <w:divBdr>
                <w:top w:val="none" w:sz="0" w:space="0" w:color="auto"/>
                <w:left w:val="single" w:sz="12" w:space="0" w:color="E9E9E9"/>
                <w:bottom w:val="none" w:sz="0" w:space="0" w:color="auto"/>
                <w:right w:val="none" w:sz="0" w:space="0" w:color="auto"/>
              </w:divBdr>
              <w:divsChild>
                <w:div w:id="1208490219">
                  <w:marLeft w:val="0"/>
                  <w:marRight w:val="0"/>
                  <w:marTop w:val="0"/>
                  <w:marBottom w:val="0"/>
                  <w:divBdr>
                    <w:top w:val="none" w:sz="0" w:space="0" w:color="auto"/>
                    <w:left w:val="none" w:sz="0" w:space="0" w:color="auto"/>
                    <w:bottom w:val="none" w:sz="0" w:space="0" w:color="auto"/>
                    <w:right w:val="none" w:sz="0" w:space="0" w:color="auto"/>
                  </w:divBdr>
                  <w:divsChild>
                    <w:div w:id="961615358">
                      <w:marLeft w:val="0"/>
                      <w:marRight w:val="0"/>
                      <w:marTop w:val="0"/>
                      <w:marBottom w:val="0"/>
                      <w:divBdr>
                        <w:top w:val="none" w:sz="0" w:space="0" w:color="auto"/>
                        <w:left w:val="none" w:sz="0" w:space="0" w:color="auto"/>
                        <w:bottom w:val="none" w:sz="0" w:space="0" w:color="auto"/>
                        <w:right w:val="none" w:sz="0" w:space="0" w:color="auto"/>
                      </w:divBdr>
                      <w:divsChild>
                        <w:div w:id="13215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12906">
          <w:marLeft w:val="0"/>
          <w:marRight w:val="0"/>
          <w:marTop w:val="0"/>
          <w:marBottom w:val="0"/>
          <w:divBdr>
            <w:top w:val="none" w:sz="0" w:space="0" w:color="auto"/>
            <w:left w:val="none" w:sz="0" w:space="0" w:color="auto"/>
            <w:bottom w:val="none" w:sz="0" w:space="0" w:color="auto"/>
            <w:right w:val="none" w:sz="0" w:space="0" w:color="auto"/>
          </w:divBdr>
          <w:divsChild>
            <w:div w:id="935985993">
              <w:marLeft w:val="0"/>
              <w:marRight w:val="0"/>
              <w:marTop w:val="0"/>
              <w:marBottom w:val="0"/>
              <w:divBdr>
                <w:top w:val="none" w:sz="0" w:space="0" w:color="auto"/>
                <w:left w:val="none" w:sz="0" w:space="0" w:color="auto"/>
                <w:bottom w:val="none" w:sz="0" w:space="0" w:color="auto"/>
                <w:right w:val="none" w:sz="0" w:space="0" w:color="auto"/>
              </w:divBdr>
              <w:divsChild>
                <w:div w:id="531959597">
                  <w:marLeft w:val="0"/>
                  <w:marRight w:val="0"/>
                  <w:marTop w:val="0"/>
                  <w:marBottom w:val="0"/>
                  <w:divBdr>
                    <w:top w:val="none" w:sz="0" w:space="0" w:color="auto"/>
                    <w:left w:val="none" w:sz="0" w:space="0" w:color="auto"/>
                    <w:bottom w:val="none" w:sz="0" w:space="0" w:color="auto"/>
                    <w:right w:val="none" w:sz="0" w:space="0" w:color="auto"/>
                  </w:divBdr>
                  <w:divsChild>
                    <w:div w:id="483426007">
                      <w:marLeft w:val="0"/>
                      <w:marRight w:val="0"/>
                      <w:marTop w:val="0"/>
                      <w:marBottom w:val="0"/>
                      <w:divBdr>
                        <w:top w:val="none" w:sz="0" w:space="0" w:color="auto"/>
                        <w:left w:val="none" w:sz="0" w:space="0" w:color="auto"/>
                        <w:bottom w:val="none" w:sz="0" w:space="0" w:color="auto"/>
                        <w:right w:val="none" w:sz="0" w:space="0" w:color="auto"/>
                      </w:divBdr>
                      <w:divsChild>
                        <w:div w:id="25031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2974">
              <w:marLeft w:val="0"/>
              <w:marRight w:val="0"/>
              <w:marTop w:val="0"/>
              <w:marBottom w:val="0"/>
              <w:divBdr>
                <w:top w:val="none" w:sz="0" w:space="0" w:color="auto"/>
                <w:left w:val="none" w:sz="0" w:space="0" w:color="auto"/>
                <w:bottom w:val="none" w:sz="0" w:space="0" w:color="auto"/>
                <w:right w:val="none" w:sz="0" w:space="0" w:color="auto"/>
              </w:divBdr>
              <w:divsChild>
                <w:div w:id="4488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9116">
          <w:marLeft w:val="0"/>
          <w:marRight w:val="0"/>
          <w:marTop w:val="0"/>
          <w:marBottom w:val="0"/>
          <w:divBdr>
            <w:top w:val="none" w:sz="0" w:space="0" w:color="auto"/>
            <w:left w:val="none" w:sz="0" w:space="0" w:color="auto"/>
            <w:bottom w:val="none" w:sz="0" w:space="0" w:color="auto"/>
            <w:right w:val="none" w:sz="0" w:space="0" w:color="auto"/>
          </w:divBdr>
          <w:divsChild>
            <w:div w:id="1672636147">
              <w:marLeft w:val="0"/>
              <w:marRight w:val="0"/>
              <w:marTop w:val="0"/>
              <w:marBottom w:val="0"/>
              <w:divBdr>
                <w:top w:val="none" w:sz="0" w:space="0" w:color="auto"/>
                <w:left w:val="none" w:sz="0" w:space="0" w:color="auto"/>
                <w:bottom w:val="none" w:sz="0" w:space="0" w:color="auto"/>
                <w:right w:val="none" w:sz="0" w:space="0" w:color="auto"/>
              </w:divBdr>
              <w:divsChild>
                <w:div w:id="1566989011">
                  <w:marLeft w:val="0"/>
                  <w:marRight w:val="0"/>
                  <w:marTop w:val="0"/>
                  <w:marBottom w:val="0"/>
                  <w:divBdr>
                    <w:top w:val="none" w:sz="0" w:space="0" w:color="auto"/>
                    <w:left w:val="none" w:sz="0" w:space="0" w:color="auto"/>
                    <w:bottom w:val="none" w:sz="0" w:space="0" w:color="auto"/>
                    <w:right w:val="none" w:sz="0" w:space="0" w:color="auto"/>
                  </w:divBdr>
                </w:div>
              </w:divsChild>
            </w:div>
            <w:div w:id="1963609863">
              <w:marLeft w:val="0"/>
              <w:marRight w:val="0"/>
              <w:marTop w:val="0"/>
              <w:marBottom w:val="0"/>
              <w:divBdr>
                <w:top w:val="none" w:sz="0" w:space="0" w:color="auto"/>
                <w:left w:val="none" w:sz="0" w:space="0" w:color="auto"/>
                <w:bottom w:val="none" w:sz="0" w:space="0" w:color="auto"/>
                <w:right w:val="none" w:sz="0" w:space="0" w:color="auto"/>
              </w:divBdr>
              <w:divsChild>
                <w:div w:id="1810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0551">
          <w:marLeft w:val="0"/>
          <w:marRight w:val="0"/>
          <w:marTop w:val="0"/>
          <w:marBottom w:val="0"/>
          <w:divBdr>
            <w:top w:val="none" w:sz="0" w:space="0" w:color="auto"/>
            <w:left w:val="none" w:sz="0" w:space="0" w:color="auto"/>
            <w:bottom w:val="none" w:sz="0" w:space="0" w:color="auto"/>
            <w:right w:val="none" w:sz="0" w:space="0" w:color="auto"/>
          </w:divBdr>
          <w:divsChild>
            <w:div w:id="287856838">
              <w:marLeft w:val="0"/>
              <w:marRight w:val="0"/>
              <w:marTop w:val="0"/>
              <w:marBottom w:val="0"/>
              <w:divBdr>
                <w:top w:val="none" w:sz="0" w:space="0" w:color="auto"/>
                <w:left w:val="none" w:sz="0" w:space="0" w:color="auto"/>
                <w:bottom w:val="none" w:sz="0" w:space="0" w:color="auto"/>
                <w:right w:val="none" w:sz="0" w:space="0" w:color="auto"/>
              </w:divBdr>
              <w:divsChild>
                <w:div w:id="864052271">
                  <w:marLeft w:val="120"/>
                  <w:marRight w:val="0"/>
                  <w:marTop w:val="0"/>
                  <w:marBottom w:val="0"/>
                  <w:divBdr>
                    <w:top w:val="none" w:sz="0" w:space="0" w:color="auto"/>
                    <w:left w:val="none" w:sz="0" w:space="0" w:color="auto"/>
                    <w:bottom w:val="none" w:sz="0" w:space="0" w:color="auto"/>
                    <w:right w:val="none" w:sz="0" w:space="0" w:color="auto"/>
                  </w:divBdr>
                  <w:divsChild>
                    <w:div w:id="170173432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93930360">
              <w:marLeft w:val="0"/>
              <w:marRight w:val="0"/>
              <w:marTop w:val="0"/>
              <w:marBottom w:val="0"/>
              <w:divBdr>
                <w:top w:val="none" w:sz="0" w:space="0" w:color="auto"/>
                <w:left w:val="none" w:sz="0" w:space="0" w:color="auto"/>
                <w:bottom w:val="none" w:sz="0" w:space="0" w:color="auto"/>
                <w:right w:val="none" w:sz="0" w:space="0" w:color="auto"/>
              </w:divBdr>
              <w:divsChild>
                <w:div w:id="1878158153">
                  <w:marLeft w:val="120"/>
                  <w:marRight w:val="0"/>
                  <w:marTop w:val="0"/>
                  <w:marBottom w:val="0"/>
                  <w:divBdr>
                    <w:top w:val="none" w:sz="0" w:space="0" w:color="auto"/>
                    <w:left w:val="none" w:sz="0" w:space="0" w:color="auto"/>
                    <w:bottom w:val="none" w:sz="0" w:space="0" w:color="auto"/>
                    <w:right w:val="none" w:sz="0" w:space="0" w:color="auto"/>
                  </w:divBdr>
                  <w:divsChild>
                    <w:div w:id="484602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64180923">
          <w:marLeft w:val="0"/>
          <w:marRight w:val="0"/>
          <w:marTop w:val="0"/>
          <w:marBottom w:val="0"/>
          <w:divBdr>
            <w:top w:val="none" w:sz="0" w:space="0" w:color="auto"/>
            <w:left w:val="none" w:sz="0" w:space="0" w:color="auto"/>
            <w:bottom w:val="none" w:sz="0" w:space="0" w:color="auto"/>
            <w:right w:val="none" w:sz="0" w:space="0" w:color="auto"/>
          </w:divBdr>
          <w:divsChild>
            <w:div w:id="246229224">
              <w:marLeft w:val="0"/>
              <w:marRight w:val="0"/>
              <w:marTop w:val="0"/>
              <w:marBottom w:val="0"/>
              <w:divBdr>
                <w:top w:val="none" w:sz="0" w:space="0" w:color="auto"/>
                <w:left w:val="none" w:sz="0" w:space="0" w:color="auto"/>
                <w:bottom w:val="none" w:sz="0" w:space="0" w:color="auto"/>
                <w:right w:val="none" w:sz="0" w:space="0" w:color="auto"/>
              </w:divBdr>
              <w:divsChild>
                <w:div w:id="2078087046">
                  <w:marLeft w:val="0"/>
                  <w:marRight w:val="0"/>
                  <w:marTop w:val="0"/>
                  <w:marBottom w:val="0"/>
                  <w:divBdr>
                    <w:top w:val="none" w:sz="0" w:space="0" w:color="auto"/>
                    <w:left w:val="none" w:sz="0" w:space="0" w:color="auto"/>
                    <w:bottom w:val="none" w:sz="0" w:space="0" w:color="auto"/>
                    <w:right w:val="none" w:sz="0" w:space="0" w:color="auto"/>
                  </w:divBdr>
                </w:div>
              </w:divsChild>
            </w:div>
            <w:div w:id="515580026">
              <w:marLeft w:val="0"/>
              <w:marRight w:val="0"/>
              <w:marTop w:val="0"/>
              <w:marBottom w:val="0"/>
              <w:divBdr>
                <w:top w:val="none" w:sz="0" w:space="0" w:color="auto"/>
                <w:left w:val="none" w:sz="0" w:space="0" w:color="auto"/>
                <w:bottom w:val="none" w:sz="0" w:space="0" w:color="auto"/>
                <w:right w:val="none" w:sz="0" w:space="0" w:color="auto"/>
              </w:divBdr>
              <w:divsChild>
                <w:div w:id="1277833584">
                  <w:marLeft w:val="0"/>
                  <w:marRight w:val="0"/>
                  <w:marTop w:val="0"/>
                  <w:marBottom w:val="0"/>
                  <w:divBdr>
                    <w:top w:val="none" w:sz="0" w:space="0" w:color="auto"/>
                    <w:left w:val="none" w:sz="0" w:space="0" w:color="auto"/>
                    <w:bottom w:val="none" w:sz="0" w:space="0" w:color="auto"/>
                    <w:right w:val="none" w:sz="0" w:space="0" w:color="auto"/>
                  </w:divBdr>
                </w:div>
              </w:divsChild>
            </w:div>
            <w:div w:id="773719023">
              <w:marLeft w:val="0"/>
              <w:marRight w:val="0"/>
              <w:marTop w:val="0"/>
              <w:marBottom w:val="0"/>
              <w:divBdr>
                <w:top w:val="none" w:sz="0" w:space="0" w:color="auto"/>
                <w:left w:val="none" w:sz="0" w:space="0" w:color="auto"/>
                <w:bottom w:val="none" w:sz="0" w:space="0" w:color="auto"/>
                <w:right w:val="none" w:sz="0" w:space="0" w:color="auto"/>
              </w:divBdr>
              <w:divsChild>
                <w:div w:id="1906182983">
                  <w:marLeft w:val="0"/>
                  <w:marRight w:val="0"/>
                  <w:marTop w:val="0"/>
                  <w:marBottom w:val="0"/>
                  <w:divBdr>
                    <w:top w:val="none" w:sz="0" w:space="0" w:color="auto"/>
                    <w:left w:val="none" w:sz="0" w:space="0" w:color="auto"/>
                    <w:bottom w:val="none" w:sz="0" w:space="0" w:color="auto"/>
                    <w:right w:val="none" w:sz="0" w:space="0" w:color="auto"/>
                  </w:divBdr>
                </w:div>
              </w:divsChild>
            </w:div>
            <w:div w:id="1274020902">
              <w:marLeft w:val="0"/>
              <w:marRight w:val="0"/>
              <w:marTop w:val="0"/>
              <w:marBottom w:val="0"/>
              <w:divBdr>
                <w:top w:val="none" w:sz="0" w:space="0" w:color="auto"/>
                <w:left w:val="none" w:sz="0" w:space="0" w:color="auto"/>
                <w:bottom w:val="none" w:sz="0" w:space="0" w:color="auto"/>
                <w:right w:val="none" w:sz="0" w:space="0" w:color="auto"/>
              </w:divBdr>
              <w:divsChild>
                <w:div w:id="1644969877">
                  <w:marLeft w:val="0"/>
                  <w:marRight w:val="0"/>
                  <w:marTop w:val="0"/>
                  <w:marBottom w:val="0"/>
                  <w:divBdr>
                    <w:top w:val="none" w:sz="0" w:space="0" w:color="auto"/>
                    <w:left w:val="none" w:sz="0" w:space="0" w:color="auto"/>
                    <w:bottom w:val="none" w:sz="0" w:space="0" w:color="auto"/>
                    <w:right w:val="none" w:sz="0" w:space="0" w:color="auto"/>
                  </w:divBdr>
                </w:div>
              </w:divsChild>
            </w:div>
            <w:div w:id="1565289118">
              <w:marLeft w:val="0"/>
              <w:marRight w:val="0"/>
              <w:marTop w:val="0"/>
              <w:marBottom w:val="0"/>
              <w:divBdr>
                <w:top w:val="none" w:sz="0" w:space="0" w:color="auto"/>
                <w:left w:val="none" w:sz="0" w:space="0" w:color="auto"/>
                <w:bottom w:val="none" w:sz="0" w:space="0" w:color="auto"/>
                <w:right w:val="none" w:sz="0" w:space="0" w:color="auto"/>
              </w:divBdr>
              <w:divsChild>
                <w:div w:id="2119179599">
                  <w:marLeft w:val="0"/>
                  <w:marRight w:val="0"/>
                  <w:marTop w:val="0"/>
                  <w:marBottom w:val="0"/>
                  <w:divBdr>
                    <w:top w:val="none" w:sz="0" w:space="0" w:color="auto"/>
                    <w:left w:val="none" w:sz="0" w:space="0" w:color="auto"/>
                    <w:bottom w:val="none" w:sz="0" w:space="0" w:color="auto"/>
                    <w:right w:val="none" w:sz="0" w:space="0" w:color="auto"/>
                  </w:divBdr>
                </w:div>
              </w:divsChild>
            </w:div>
            <w:div w:id="1719235572">
              <w:marLeft w:val="0"/>
              <w:marRight w:val="0"/>
              <w:marTop w:val="0"/>
              <w:marBottom w:val="0"/>
              <w:divBdr>
                <w:top w:val="none" w:sz="0" w:space="0" w:color="auto"/>
                <w:left w:val="none" w:sz="0" w:space="0" w:color="auto"/>
                <w:bottom w:val="none" w:sz="0" w:space="0" w:color="auto"/>
                <w:right w:val="none" w:sz="0" w:space="0" w:color="auto"/>
              </w:divBdr>
              <w:divsChild>
                <w:div w:id="9531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0376">
          <w:marLeft w:val="0"/>
          <w:marRight w:val="0"/>
          <w:marTop w:val="0"/>
          <w:marBottom w:val="0"/>
          <w:divBdr>
            <w:top w:val="none" w:sz="0" w:space="0" w:color="auto"/>
            <w:left w:val="none" w:sz="0" w:space="0" w:color="auto"/>
            <w:bottom w:val="none" w:sz="0" w:space="0" w:color="auto"/>
            <w:right w:val="none" w:sz="0" w:space="0" w:color="auto"/>
          </w:divBdr>
          <w:divsChild>
            <w:div w:id="320693105">
              <w:marLeft w:val="0"/>
              <w:marRight w:val="0"/>
              <w:marTop w:val="0"/>
              <w:marBottom w:val="0"/>
              <w:divBdr>
                <w:top w:val="none" w:sz="0" w:space="0" w:color="auto"/>
                <w:left w:val="none" w:sz="0" w:space="0" w:color="auto"/>
                <w:bottom w:val="none" w:sz="0" w:space="0" w:color="auto"/>
                <w:right w:val="none" w:sz="0" w:space="0" w:color="auto"/>
              </w:divBdr>
              <w:divsChild>
                <w:div w:id="330529587">
                  <w:marLeft w:val="0"/>
                  <w:marRight w:val="0"/>
                  <w:marTop w:val="0"/>
                  <w:marBottom w:val="0"/>
                  <w:divBdr>
                    <w:top w:val="none" w:sz="0" w:space="0" w:color="auto"/>
                    <w:left w:val="none" w:sz="0" w:space="0" w:color="auto"/>
                    <w:bottom w:val="none" w:sz="0" w:space="0" w:color="auto"/>
                    <w:right w:val="none" w:sz="0" w:space="0" w:color="auto"/>
                  </w:divBdr>
                </w:div>
              </w:divsChild>
            </w:div>
            <w:div w:id="486409477">
              <w:marLeft w:val="0"/>
              <w:marRight w:val="0"/>
              <w:marTop w:val="0"/>
              <w:marBottom w:val="0"/>
              <w:divBdr>
                <w:top w:val="none" w:sz="0" w:space="0" w:color="auto"/>
                <w:left w:val="none" w:sz="0" w:space="0" w:color="auto"/>
                <w:bottom w:val="none" w:sz="0" w:space="0" w:color="auto"/>
                <w:right w:val="none" w:sz="0" w:space="0" w:color="auto"/>
              </w:divBdr>
              <w:divsChild>
                <w:div w:id="894394639">
                  <w:marLeft w:val="0"/>
                  <w:marRight w:val="0"/>
                  <w:marTop w:val="0"/>
                  <w:marBottom w:val="0"/>
                  <w:divBdr>
                    <w:top w:val="none" w:sz="0" w:space="0" w:color="auto"/>
                    <w:left w:val="none" w:sz="0" w:space="0" w:color="auto"/>
                    <w:bottom w:val="none" w:sz="0" w:space="0" w:color="auto"/>
                    <w:right w:val="none" w:sz="0" w:space="0" w:color="auto"/>
                  </w:divBdr>
                  <w:divsChild>
                    <w:div w:id="15383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4415">
              <w:marLeft w:val="0"/>
              <w:marRight w:val="0"/>
              <w:marTop w:val="0"/>
              <w:marBottom w:val="0"/>
              <w:divBdr>
                <w:top w:val="none" w:sz="0" w:space="0" w:color="auto"/>
                <w:left w:val="none" w:sz="0" w:space="0" w:color="auto"/>
                <w:bottom w:val="none" w:sz="0" w:space="0" w:color="auto"/>
                <w:right w:val="none" w:sz="0" w:space="0" w:color="auto"/>
              </w:divBdr>
              <w:divsChild>
                <w:div w:id="1367946573">
                  <w:marLeft w:val="0"/>
                  <w:marRight w:val="0"/>
                  <w:marTop w:val="0"/>
                  <w:marBottom w:val="0"/>
                  <w:divBdr>
                    <w:top w:val="none" w:sz="0" w:space="0" w:color="auto"/>
                    <w:left w:val="none" w:sz="0" w:space="0" w:color="auto"/>
                    <w:bottom w:val="none" w:sz="0" w:space="0" w:color="auto"/>
                    <w:right w:val="none" w:sz="0" w:space="0" w:color="auto"/>
                  </w:divBdr>
                  <w:divsChild>
                    <w:div w:id="6925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658074">
      <w:bodyDiv w:val="1"/>
      <w:marLeft w:val="0"/>
      <w:marRight w:val="0"/>
      <w:marTop w:val="0"/>
      <w:marBottom w:val="0"/>
      <w:divBdr>
        <w:top w:val="none" w:sz="0" w:space="0" w:color="auto"/>
        <w:left w:val="none" w:sz="0" w:space="0" w:color="auto"/>
        <w:bottom w:val="none" w:sz="0" w:space="0" w:color="auto"/>
        <w:right w:val="none" w:sz="0" w:space="0" w:color="auto"/>
      </w:divBdr>
    </w:div>
    <w:div w:id="1080760599">
      <w:bodyDiv w:val="1"/>
      <w:marLeft w:val="0"/>
      <w:marRight w:val="0"/>
      <w:marTop w:val="0"/>
      <w:marBottom w:val="0"/>
      <w:divBdr>
        <w:top w:val="none" w:sz="0" w:space="0" w:color="auto"/>
        <w:left w:val="none" w:sz="0" w:space="0" w:color="auto"/>
        <w:bottom w:val="none" w:sz="0" w:space="0" w:color="auto"/>
        <w:right w:val="none" w:sz="0" w:space="0" w:color="auto"/>
      </w:divBdr>
      <w:divsChild>
        <w:div w:id="144905488">
          <w:marLeft w:val="0"/>
          <w:marRight w:val="0"/>
          <w:marTop w:val="0"/>
          <w:marBottom w:val="0"/>
          <w:divBdr>
            <w:top w:val="none" w:sz="0" w:space="0" w:color="auto"/>
            <w:left w:val="none" w:sz="0" w:space="0" w:color="auto"/>
            <w:bottom w:val="none" w:sz="0" w:space="0" w:color="auto"/>
            <w:right w:val="none" w:sz="0" w:space="0" w:color="auto"/>
          </w:divBdr>
        </w:div>
        <w:div w:id="149057278">
          <w:marLeft w:val="0"/>
          <w:marRight w:val="0"/>
          <w:marTop w:val="0"/>
          <w:marBottom w:val="0"/>
          <w:divBdr>
            <w:top w:val="none" w:sz="0" w:space="0" w:color="auto"/>
            <w:left w:val="none" w:sz="0" w:space="0" w:color="auto"/>
            <w:bottom w:val="none" w:sz="0" w:space="0" w:color="auto"/>
            <w:right w:val="none" w:sz="0" w:space="0" w:color="auto"/>
          </w:divBdr>
        </w:div>
        <w:div w:id="678047310">
          <w:marLeft w:val="0"/>
          <w:marRight w:val="0"/>
          <w:marTop w:val="0"/>
          <w:marBottom w:val="0"/>
          <w:divBdr>
            <w:top w:val="none" w:sz="0" w:space="0" w:color="auto"/>
            <w:left w:val="none" w:sz="0" w:space="0" w:color="auto"/>
            <w:bottom w:val="none" w:sz="0" w:space="0" w:color="auto"/>
            <w:right w:val="none" w:sz="0" w:space="0" w:color="auto"/>
          </w:divBdr>
        </w:div>
        <w:div w:id="750539395">
          <w:marLeft w:val="0"/>
          <w:marRight w:val="0"/>
          <w:marTop w:val="0"/>
          <w:marBottom w:val="0"/>
          <w:divBdr>
            <w:top w:val="none" w:sz="0" w:space="0" w:color="auto"/>
            <w:left w:val="none" w:sz="0" w:space="0" w:color="auto"/>
            <w:bottom w:val="none" w:sz="0" w:space="0" w:color="auto"/>
            <w:right w:val="none" w:sz="0" w:space="0" w:color="auto"/>
          </w:divBdr>
        </w:div>
        <w:div w:id="964896626">
          <w:marLeft w:val="0"/>
          <w:marRight w:val="0"/>
          <w:marTop w:val="0"/>
          <w:marBottom w:val="0"/>
          <w:divBdr>
            <w:top w:val="none" w:sz="0" w:space="0" w:color="auto"/>
            <w:left w:val="none" w:sz="0" w:space="0" w:color="auto"/>
            <w:bottom w:val="none" w:sz="0" w:space="0" w:color="auto"/>
            <w:right w:val="none" w:sz="0" w:space="0" w:color="auto"/>
          </w:divBdr>
        </w:div>
        <w:div w:id="1107887913">
          <w:marLeft w:val="0"/>
          <w:marRight w:val="0"/>
          <w:marTop w:val="0"/>
          <w:marBottom w:val="0"/>
          <w:divBdr>
            <w:top w:val="none" w:sz="0" w:space="0" w:color="auto"/>
            <w:left w:val="none" w:sz="0" w:space="0" w:color="auto"/>
            <w:bottom w:val="none" w:sz="0" w:space="0" w:color="auto"/>
            <w:right w:val="none" w:sz="0" w:space="0" w:color="auto"/>
          </w:divBdr>
        </w:div>
        <w:div w:id="1109397033">
          <w:marLeft w:val="0"/>
          <w:marRight w:val="0"/>
          <w:marTop w:val="0"/>
          <w:marBottom w:val="0"/>
          <w:divBdr>
            <w:top w:val="none" w:sz="0" w:space="0" w:color="auto"/>
            <w:left w:val="none" w:sz="0" w:space="0" w:color="auto"/>
            <w:bottom w:val="none" w:sz="0" w:space="0" w:color="auto"/>
            <w:right w:val="none" w:sz="0" w:space="0" w:color="auto"/>
          </w:divBdr>
        </w:div>
        <w:div w:id="1264798210">
          <w:marLeft w:val="0"/>
          <w:marRight w:val="0"/>
          <w:marTop w:val="0"/>
          <w:marBottom w:val="0"/>
          <w:divBdr>
            <w:top w:val="none" w:sz="0" w:space="0" w:color="auto"/>
            <w:left w:val="none" w:sz="0" w:space="0" w:color="auto"/>
            <w:bottom w:val="none" w:sz="0" w:space="0" w:color="auto"/>
            <w:right w:val="none" w:sz="0" w:space="0" w:color="auto"/>
          </w:divBdr>
        </w:div>
        <w:div w:id="1344824485">
          <w:marLeft w:val="0"/>
          <w:marRight w:val="0"/>
          <w:marTop w:val="0"/>
          <w:marBottom w:val="0"/>
          <w:divBdr>
            <w:top w:val="none" w:sz="0" w:space="0" w:color="auto"/>
            <w:left w:val="none" w:sz="0" w:space="0" w:color="auto"/>
            <w:bottom w:val="none" w:sz="0" w:space="0" w:color="auto"/>
            <w:right w:val="none" w:sz="0" w:space="0" w:color="auto"/>
          </w:divBdr>
        </w:div>
        <w:div w:id="1567106093">
          <w:marLeft w:val="0"/>
          <w:marRight w:val="0"/>
          <w:marTop w:val="0"/>
          <w:marBottom w:val="0"/>
          <w:divBdr>
            <w:top w:val="none" w:sz="0" w:space="0" w:color="auto"/>
            <w:left w:val="none" w:sz="0" w:space="0" w:color="auto"/>
            <w:bottom w:val="none" w:sz="0" w:space="0" w:color="auto"/>
            <w:right w:val="none" w:sz="0" w:space="0" w:color="auto"/>
          </w:divBdr>
        </w:div>
        <w:div w:id="1979724615">
          <w:marLeft w:val="0"/>
          <w:marRight w:val="0"/>
          <w:marTop w:val="0"/>
          <w:marBottom w:val="0"/>
          <w:divBdr>
            <w:top w:val="none" w:sz="0" w:space="0" w:color="auto"/>
            <w:left w:val="none" w:sz="0" w:space="0" w:color="auto"/>
            <w:bottom w:val="none" w:sz="0" w:space="0" w:color="auto"/>
            <w:right w:val="none" w:sz="0" w:space="0" w:color="auto"/>
          </w:divBdr>
        </w:div>
        <w:div w:id="1998486462">
          <w:marLeft w:val="0"/>
          <w:marRight w:val="0"/>
          <w:marTop w:val="0"/>
          <w:marBottom w:val="0"/>
          <w:divBdr>
            <w:top w:val="none" w:sz="0" w:space="0" w:color="auto"/>
            <w:left w:val="none" w:sz="0" w:space="0" w:color="auto"/>
            <w:bottom w:val="none" w:sz="0" w:space="0" w:color="auto"/>
            <w:right w:val="none" w:sz="0" w:space="0" w:color="auto"/>
          </w:divBdr>
        </w:div>
        <w:div w:id="2114277664">
          <w:marLeft w:val="0"/>
          <w:marRight w:val="0"/>
          <w:marTop w:val="0"/>
          <w:marBottom w:val="0"/>
          <w:divBdr>
            <w:top w:val="none" w:sz="0" w:space="0" w:color="auto"/>
            <w:left w:val="none" w:sz="0" w:space="0" w:color="auto"/>
            <w:bottom w:val="none" w:sz="0" w:space="0" w:color="auto"/>
            <w:right w:val="none" w:sz="0" w:space="0" w:color="auto"/>
          </w:divBdr>
        </w:div>
      </w:divsChild>
    </w:div>
    <w:div w:id="1105466570">
      <w:bodyDiv w:val="1"/>
      <w:marLeft w:val="0"/>
      <w:marRight w:val="0"/>
      <w:marTop w:val="0"/>
      <w:marBottom w:val="0"/>
      <w:divBdr>
        <w:top w:val="none" w:sz="0" w:space="0" w:color="auto"/>
        <w:left w:val="none" w:sz="0" w:space="0" w:color="auto"/>
        <w:bottom w:val="none" w:sz="0" w:space="0" w:color="auto"/>
        <w:right w:val="none" w:sz="0" w:space="0" w:color="auto"/>
      </w:divBdr>
      <w:divsChild>
        <w:div w:id="503131010">
          <w:marLeft w:val="0"/>
          <w:marRight w:val="0"/>
          <w:marTop w:val="0"/>
          <w:marBottom w:val="0"/>
          <w:divBdr>
            <w:top w:val="none" w:sz="0" w:space="0" w:color="auto"/>
            <w:left w:val="none" w:sz="0" w:space="0" w:color="auto"/>
            <w:bottom w:val="none" w:sz="0" w:space="0" w:color="auto"/>
            <w:right w:val="none" w:sz="0" w:space="0" w:color="auto"/>
          </w:divBdr>
        </w:div>
        <w:div w:id="535971711">
          <w:marLeft w:val="0"/>
          <w:marRight w:val="0"/>
          <w:marTop w:val="0"/>
          <w:marBottom w:val="0"/>
          <w:divBdr>
            <w:top w:val="none" w:sz="0" w:space="0" w:color="auto"/>
            <w:left w:val="none" w:sz="0" w:space="0" w:color="auto"/>
            <w:bottom w:val="none" w:sz="0" w:space="0" w:color="auto"/>
            <w:right w:val="none" w:sz="0" w:space="0" w:color="auto"/>
          </w:divBdr>
        </w:div>
        <w:div w:id="598491624">
          <w:marLeft w:val="0"/>
          <w:marRight w:val="0"/>
          <w:marTop w:val="0"/>
          <w:marBottom w:val="0"/>
          <w:divBdr>
            <w:top w:val="none" w:sz="0" w:space="0" w:color="auto"/>
            <w:left w:val="none" w:sz="0" w:space="0" w:color="auto"/>
            <w:bottom w:val="none" w:sz="0" w:space="0" w:color="auto"/>
            <w:right w:val="none" w:sz="0" w:space="0" w:color="auto"/>
          </w:divBdr>
        </w:div>
        <w:div w:id="825820711">
          <w:marLeft w:val="0"/>
          <w:marRight w:val="0"/>
          <w:marTop w:val="0"/>
          <w:marBottom w:val="0"/>
          <w:divBdr>
            <w:top w:val="none" w:sz="0" w:space="0" w:color="auto"/>
            <w:left w:val="none" w:sz="0" w:space="0" w:color="auto"/>
            <w:bottom w:val="none" w:sz="0" w:space="0" w:color="auto"/>
            <w:right w:val="none" w:sz="0" w:space="0" w:color="auto"/>
          </w:divBdr>
        </w:div>
        <w:div w:id="961614417">
          <w:marLeft w:val="0"/>
          <w:marRight w:val="0"/>
          <w:marTop w:val="0"/>
          <w:marBottom w:val="0"/>
          <w:divBdr>
            <w:top w:val="none" w:sz="0" w:space="0" w:color="auto"/>
            <w:left w:val="none" w:sz="0" w:space="0" w:color="auto"/>
            <w:bottom w:val="none" w:sz="0" w:space="0" w:color="auto"/>
            <w:right w:val="none" w:sz="0" w:space="0" w:color="auto"/>
          </w:divBdr>
        </w:div>
        <w:div w:id="1005132087">
          <w:marLeft w:val="0"/>
          <w:marRight w:val="0"/>
          <w:marTop w:val="0"/>
          <w:marBottom w:val="0"/>
          <w:divBdr>
            <w:top w:val="none" w:sz="0" w:space="0" w:color="auto"/>
            <w:left w:val="none" w:sz="0" w:space="0" w:color="auto"/>
            <w:bottom w:val="none" w:sz="0" w:space="0" w:color="auto"/>
            <w:right w:val="none" w:sz="0" w:space="0" w:color="auto"/>
          </w:divBdr>
        </w:div>
        <w:div w:id="1017460047">
          <w:marLeft w:val="0"/>
          <w:marRight w:val="0"/>
          <w:marTop w:val="0"/>
          <w:marBottom w:val="0"/>
          <w:divBdr>
            <w:top w:val="none" w:sz="0" w:space="0" w:color="auto"/>
            <w:left w:val="none" w:sz="0" w:space="0" w:color="auto"/>
            <w:bottom w:val="none" w:sz="0" w:space="0" w:color="auto"/>
            <w:right w:val="none" w:sz="0" w:space="0" w:color="auto"/>
          </w:divBdr>
        </w:div>
        <w:div w:id="1021662139">
          <w:marLeft w:val="0"/>
          <w:marRight w:val="0"/>
          <w:marTop w:val="0"/>
          <w:marBottom w:val="0"/>
          <w:divBdr>
            <w:top w:val="none" w:sz="0" w:space="0" w:color="auto"/>
            <w:left w:val="none" w:sz="0" w:space="0" w:color="auto"/>
            <w:bottom w:val="none" w:sz="0" w:space="0" w:color="auto"/>
            <w:right w:val="none" w:sz="0" w:space="0" w:color="auto"/>
          </w:divBdr>
        </w:div>
        <w:div w:id="1590388971">
          <w:marLeft w:val="0"/>
          <w:marRight w:val="0"/>
          <w:marTop w:val="0"/>
          <w:marBottom w:val="0"/>
          <w:divBdr>
            <w:top w:val="none" w:sz="0" w:space="0" w:color="auto"/>
            <w:left w:val="none" w:sz="0" w:space="0" w:color="auto"/>
            <w:bottom w:val="none" w:sz="0" w:space="0" w:color="auto"/>
            <w:right w:val="none" w:sz="0" w:space="0" w:color="auto"/>
          </w:divBdr>
        </w:div>
        <w:div w:id="1698846821">
          <w:marLeft w:val="0"/>
          <w:marRight w:val="0"/>
          <w:marTop w:val="0"/>
          <w:marBottom w:val="0"/>
          <w:divBdr>
            <w:top w:val="none" w:sz="0" w:space="0" w:color="auto"/>
            <w:left w:val="none" w:sz="0" w:space="0" w:color="auto"/>
            <w:bottom w:val="none" w:sz="0" w:space="0" w:color="auto"/>
            <w:right w:val="none" w:sz="0" w:space="0" w:color="auto"/>
          </w:divBdr>
        </w:div>
        <w:div w:id="1841266353">
          <w:marLeft w:val="0"/>
          <w:marRight w:val="0"/>
          <w:marTop w:val="0"/>
          <w:marBottom w:val="0"/>
          <w:divBdr>
            <w:top w:val="none" w:sz="0" w:space="0" w:color="auto"/>
            <w:left w:val="none" w:sz="0" w:space="0" w:color="auto"/>
            <w:bottom w:val="none" w:sz="0" w:space="0" w:color="auto"/>
            <w:right w:val="none" w:sz="0" w:space="0" w:color="auto"/>
          </w:divBdr>
        </w:div>
        <w:div w:id="2018920884">
          <w:marLeft w:val="0"/>
          <w:marRight w:val="0"/>
          <w:marTop w:val="0"/>
          <w:marBottom w:val="0"/>
          <w:divBdr>
            <w:top w:val="none" w:sz="0" w:space="0" w:color="auto"/>
            <w:left w:val="none" w:sz="0" w:space="0" w:color="auto"/>
            <w:bottom w:val="none" w:sz="0" w:space="0" w:color="auto"/>
            <w:right w:val="none" w:sz="0" w:space="0" w:color="auto"/>
          </w:divBdr>
        </w:div>
        <w:div w:id="2077121924">
          <w:marLeft w:val="0"/>
          <w:marRight w:val="0"/>
          <w:marTop w:val="0"/>
          <w:marBottom w:val="0"/>
          <w:divBdr>
            <w:top w:val="none" w:sz="0" w:space="0" w:color="auto"/>
            <w:left w:val="none" w:sz="0" w:space="0" w:color="auto"/>
            <w:bottom w:val="none" w:sz="0" w:space="0" w:color="auto"/>
            <w:right w:val="none" w:sz="0" w:space="0" w:color="auto"/>
          </w:divBdr>
        </w:div>
      </w:divsChild>
    </w:div>
    <w:div w:id="1393503766">
      <w:bodyDiv w:val="1"/>
      <w:marLeft w:val="0"/>
      <w:marRight w:val="0"/>
      <w:marTop w:val="0"/>
      <w:marBottom w:val="0"/>
      <w:divBdr>
        <w:top w:val="none" w:sz="0" w:space="0" w:color="auto"/>
        <w:left w:val="none" w:sz="0" w:space="0" w:color="auto"/>
        <w:bottom w:val="none" w:sz="0" w:space="0" w:color="auto"/>
        <w:right w:val="none" w:sz="0" w:space="0" w:color="auto"/>
      </w:divBdr>
    </w:div>
    <w:div w:id="1504660693">
      <w:bodyDiv w:val="1"/>
      <w:marLeft w:val="0"/>
      <w:marRight w:val="0"/>
      <w:marTop w:val="0"/>
      <w:marBottom w:val="0"/>
      <w:divBdr>
        <w:top w:val="none" w:sz="0" w:space="0" w:color="auto"/>
        <w:left w:val="none" w:sz="0" w:space="0" w:color="auto"/>
        <w:bottom w:val="none" w:sz="0" w:space="0" w:color="auto"/>
        <w:right w:val="none" w:sz="0" w:space="0" w:color="auto"/>
      </w:divBdr>
      <w:divsChild>
        <w:div w:id="301931583">
          <w:marLeft w:val="0"/>
          <w:marRight w:val="0"/>
          <w:marTop w:val="0"/>
          <w:marBottom w:val="0"/>
          <w:divBdr>
            <w:top w:val="none" w:sz="0" w:space="0" w:color="auto"/>
            <w:left w:val="none" w:sz="0" w:space="0" w:color="auto"/>
            <w:bottom w:val="none" w:sz="0" w:space="0" w:color="auto"/>
            <w:right w:val="none" w:sz="0" w:space="0" w:color="auto"/>
          </w:divBdr>
        </w:div>
        <w:div w:id="395051251">
          <w:marLeft w:val="0"/>
          <w:marRight w:val="0"/>
          <w:marTop w:val="0"/>
          <w:marBottom w:val="0"/>
          <w:divBdr>
            <w:top w:val="none" w:sz="0" w:space="0" w:color="auto"/>
            <w:left w:val="none" w:sz="0" w:space="0" w:color="auto"/>
            <w:bottom w:val="none" w:sz="0" w:space="0" w:color="auto"/>
            <w:right w:val="none" w:sz="0" w:space="0" w:color="auto"/>
          </w:divBdr>
        </w:div>
        <w:div w:id="618948560">
          <w:marLeft w:val="0"/>
          <w:marRight w:val="0"/>
          <w:marTop w:val="0"/>
          <w:marBottom w:val="0"/>
          <w:divBdr>
            <w:top w:val="none" w:sz="0" w:space="0" w:color="auto"/>
            <w:left w:val="none" w:sz="0" w:space="0" w:color="auto"/>
            <w:bottom w:val="none" w:sz="0" w:space="0" w:color="auto"/>
            <w:right w:val="none" w:sz="0" w:space="0" w:color="auto"/>
          </w:divBdr>
        </w:div>
        <w:div w:id="671033447">
          <w:marLeft w:val="0"/>
          <w:marRight w:val="0"/>
          <w:marTop w:val="0"/>
          <w:marBottom w:val="0"/>
          <w:divBdr>
            <w:top w:val="none" w:sz="0" w:space="0" w:color="auto"/>
            <w:left w:val="none" w:sz="0" w:space="0" w:color="auto"/>
            <w:bottom w:val="none" w:sz="0" w:space="0" w:color="auto"/>
            <w:right w:val="none" w:sz="0" w:space="0" w:color="auto"/>
          </w:divBdr>
        </w:div>
        <w:div w:id="711925596">
          <w:marLeft w:val="0"/>
          <w:marRight w:val="0"/>
          <w:marTop w:val="0"/>
          <w:marBottom w:val="0"/>
          <w:divBdr>
            <w:top w:val="none" w:sz="0" w:space="0" w:color="auto"/>
            <w:left w:val="none" w:sz="0" w:space="0" w:color="auto"/>
            <w:bottom w:val="none" w:sz="0" w:space="0" w:color="auto"/>
            <w:right w:val="none" w:sz="0" w:space="0" w:color="auto"/>
          </w:divBdr>
        </w:div>
        <w:div w:id="843478215">
          <w:marLeft w:val="0"/>
          <w:marRight w:val="0"/>
          <w:marTop w:val="0"/>
          <w:marBottom w:val="0"/>
          <w:divBdr>
            <w:top w:val="none" w:sz="0" w:space="0" w:color="auto"/>
            <w:left w:val="none" w:sz="0" w:space="0" w:color="auto"/>
            <w:bottom w:val="none" w:sz="0" w:space="0" w:color="auto"/>
            <w:right w:val="none" w:sz="0" w:space="0" w:color="auto"/>
          </w:divBdr>
        </w:div>
        <w:div w:id="873618642">
          <w:marLeft w:val="0"/>
          <w:marRight w:val="0"/>
          <w:marTop w:val="0"/>
          <w:marBottom w:val="0"/>
          <w:divBdr>
            <w:top w:val="none" w:sz="0" w:space="0" w:color="auto"/>
            <w:left w:val="none" w:sz="0" w:space="0" w:color="auto"/>
            <w:bottom w:val="none" w:sz="0" w:space="0" w:color="auto"/>
            <w:right w:val="none" w:sz="0" w:space="0" w:color="auto"/>
          </w:divBdr>
        </w:div>
        <w:div w:id="925917762">
          <w:marLeft w:val="0"/>
          <w:marRight w:val="0"/>
          <w:marTop w:val="0"/>
          <w:marBottom w:val="0"/>
          <w:divBdr>
            <w:top w:val="none" w:sz="0" w:space="0" w:color="auto"/>
            <w:left w:val="none" w:sz="0" w:space="0" w:color="auto"/>
            <w:bottom w:val="none" w:sz="0" w:space="0" w:color="auto"/>
            <w:right w:val="none" w:sz="0" w:space="0" w:color="auto"/>
          </w:divBdr>
        </w:div>
        <w:div w:id="1049525693">
          <w:marLeft w:val="0"/>
          <w:marRight w:val="0"/>
          <w:marTop w:val="0"/>
          <w:marBottom w:val="0"/>
          <w:divBdr>
            <w:top w:val="none" w:sz="0" w:space="0" w:color="auto"/>
            <w:left w:val="none" w:sz="0" w:space="0" w:color="auto"/>
            <w:bottom w:val="none" w:sz="0" w:space="0" w:color="auto"/>
            <w:right w:val="none" w:sz="0" w:space="0" w:color="auto"/>
          </w:divBdr>
        </w:div>
        <w:div w:id="1593469267">
          <w:marLeft w:val="0"/>
          <w:marRight w:val="0"/>
          <w:marTop w:val="0"/>
          <w:marBottom w:val="0"/>
          <w:divBdr>
            <w:top w:val="none" w:sz="0" w:space="0" w:color="auto"/>
            <w:left w:val="none" w:sz="0" w:space="0" w:color="auto"/>
            <w:bottom w:val="none" w:sz="0" w:space="0" w:color="auto"/>
            <w:right w:val="none" w:sz="0" w:space="0" w:color="auto"/>
          </w:divBdr>
        </w:div>
        <w:div w:id="1606695404">
          <w:marLeft w:val="0"/>
          <w:marRight w:val="0"/>
          <w:marTop w:val="0"/>
          <w:marBottom w:val="0"/>
          <w:divBdr>
            <w:top w:val="none" w:sz="0" w:space="0" w:color="auto"/>
            <w:left w:val="none" w:sz="0" w:space="0" w:color="auto"/>
            <w:bottom w:val="none" w:sz="0" w:space="0" w:color="auto"/>
            <w:right w:val="none" w:sz="0" w:space="0" w:color="auto"/>
          </w:divBdr>
        </w:div>
        <w:div w:id="2002737090">
          <w:marLeft w:val="0"/>
          <w:marRight w:val="0"/>
          <w:marTop w:val="0"/>
          <w:marBottom w:val="0"/>
          <w:divBdr>
            <w:top w:val="none" w:sz="0" w:space="0" w:color="auto"/>
            <w:left w:val="none" w:sz="0" w:space="0" w:color="auto"/>
            <w:bottom w:val="none" w:sz="0" w:space="0" w:color="auto"/>
            <w:right w:val="none" w:sz="0" w:space="0" w:color="auto"/>
          </w:divBdr>
        </w:div>
        <w:div w:id="2066754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2588ei@arb.ca.gov" TargetMode="External"/><Relationship Id="rId18" Type="http://schemas.openxmlformats.org/officeDocument/2006/relationships/hyperlink" Target="https://gcc02.safelinks.protection.outlook.com/?url=https%3A%2F%2Fww2.arb.ca.gov%2Fsites%2Fdefault%2Ffiles%2F2022-10%2FAppendix%2520A.pdf&amp;data=05%7C01%7CJohn.Dingman%40arb.ca.gov%7Cc593832d5af04f0a49c608dab2e32612%7C9de5aaee778840b1a438c0ccc98c87cc%7C0%7C0%7C638018985953903981%7CUnknown%7CTWFpbGZsb3d8eyJWIjoiMC4wLjAwMDAiLCJQIjoiV2luMzIiLCJBTiI6Ik1haWwiLCJXVCI6Mn0%3D%7C3000%7C%7C%7C&amp;sdata=RnIt1FS3o%2BNPQ5LOLrC7MS7Ma%2BmqV9jftihOVLJqZLA%3D&amp;reserved=0" TargetMode="External"/><Relationship Id="rId26" Type="http://schemas.openxmlformats.org/officeDocument/2006/relationships/hyperlink" Target="https://public.govdelivery.com/accounts/CARB/subscriber/new?topic_id=listserv" TargetMode="External"/><Relationship Id="rId39" Type="http://schemas.openxmlformats.org/officeDocument/2006/relationships/hyperlink" Target="https://ww2.arb.ca.gov/sites/default/files/2022-10/Appendix%20A.pdf" TargetMode="External"/><Relationship Id="rId21" Type="http://schemas.openxmlformats.org/officeDocument/2006/relationships/hyperlink" Target="https://ww2.arb.ca.gov/sites/default/files/classic/ab2588/CAPCOA%20Prioritization%20Guidelines%20-%20August%202016%20FINAL.pdf" TargetMode="External"/><Relationship Id="rId34" Type="http://schemas.openxmlformats.org/officeDocument/2006/relationships/hyperlink" Target="https://ww2.arb.ca.gov/sites/default/files/2022-10/Appendix%20A.pdf" TargetMode="External"/><Relationship Id="rId42" Type="http://schemas.openxmlformats.org/officeDocument/2006/relationships/hyperlink" Target="https://gcc02.safelinks.protection.outlook.com/?url=https%3A%2F%2Fww2.arb.ca.gov%2Fsites%2Fdefault%2Ffiles%2F2022-10%2FAppendix%2520A.pdf&amp;data=05%7C01%7CJohn.Dingman%40arb.ca.gov%7Cc593832d5af04f0a49c608dab2e32612%7C9de5aaee778840b1a438c0ccc98c87cc%7C0%7C0%7C638018985953903981%7CUnknown%7CTWFpbGZsb3d8eyJWIjoiMC4wLjAwMDAiLCJQIjoiV2luMzIiLCJBTiI6Ik1haWwiLCJXVCI6Mn0%3D%7C3000%7C%7C%7C&amp;sdata=RnIt1FS3o%2BNPQ5LOLrC7MS7Ma%2BmqV9jftihOVLJqZLA%3D&amp;reserved=0" TargetMode="External"/><Relationship Id="rId47" Type="http://schemas.openxmlformats.org/officeDocument/2006/relationships/hyperlink" Target="https://ww2.arb.ca.gov/sites/default/files/classic/toxics/healthval/contable10062023.pdf" TargetMode="External"/><Relationship Id="rId50" Type="http://schemas.openxmlformats.org/officeDocument/2006/relationships/hyperlink" Target="https://gcc02.safelinks.protection.outlook.com/?url=https%3A%2F%2Fww2.arb.ca.gov%2Fresources%2Fdocuments%2Fconsolidated-table-oehha-carb-approved-risk-assessment-health-values&amp;data=05%7C01%7CRima.Woods%40oehha.ca.gov%7C7c871e42536a4cdd2e1908dbf20c1a1a%7C37def2e8f94a4f25a417deca6cccd59c%7C0%7C0%7C638369906036730712%7CUnknown%7CTWFpbGZsb3d8eyJWIjoiMC4wLjAwMDAiLCJQIjoiV2luMzIiLCJBTiI6Ik1haWwiLCJXVCI6Mn0%3D%7C3000%7C%7C%7C&amp;sdata=kK%2BEqcNFZuR1VKoSHDbrOFSWXdtfWdkv7hHj5Pa9v88%3D&amp;reserved=0"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2.arb.ca.gov/our-work/programs/ab-2588-air-toxics-hot-spots/hot-spots-inventory-guidelines" TargetMode="External"/><Relationship Id="rId29" Type="http://schemas.openxmlformats.org/officeDocument/2006/relationships/hyperlink" Target="https://ww2.arb.ca.gov/sites/default/files/2022-10/Appendix%20E.pdf" TargetMode="External"/><Relationship Id="rId11" Type="http://schemas.openxmlformats.org/officeDocument/2006/relationships/hyperlink" Target="https://ww2.arb.ca.gov/our-work/programs/ab-2588-air-toxics-hot-spots/hot-spots-inventory-guidelines" TargetMode="External"/><Relationship Id="rId24" Type="http://schemas.openxmlformats.org/officeDocument/2006/relationships/hyperlink" Target="https://ww2.arb.ca.gov/sites/default/files/2022-10/Appendix%20A.pdf" TargetMode="External"/><Relationship Id="rId32" Type="http://schemas.openxmlformats.org/officeDocument/2006/relationships/hyperlink" Target="https://ww2.arb.ca.gov/sites/default/files/2022-10/Appendix%20D.pdf" TargetMode="External"/><Relationship Id="rId37" Type="http://schemas.openxmlformats.org/officeDocument/2006/relationships/hyperlink" Target="https://ww2.arb.ca.gov/sites/default/files/2022-10/Appendix%20A.pdf" TargetMode="External"/><Relationship Id="rId40" Type="http://schemas.openxmlformats.org/officeDocument/2006/relationships/hyperlink" Target="https://ww2.arb.ca.gov/sites/default/files/2022-10/Appendix%20A.pdf" TargetMode="External"/><Relationship Id="rId45" Type="http://schemas.openxmlformats.org/officeDocument/2006/relationships/hyperlink" Target="https://oehha.ca.gov/media/downloads/crnr/2015guidancemanual.pdf" TargetMode="External"/><Relationship Id="rId53"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hyperlink" Target="https://gcc02.safelinks.protection.outlook.com/?url=https%3A%2F%2Fww2.arb.ca.gov%2Fsites%2Fdefault%2Ffiles%2F2022-10%2FAppendix%2520A.pdf&amp;data=05%7C01%7CJohn.Dingman%40arb.ca.gov%7Cc593832d5af04f0a49c608dab2e32612%7C9de5aaee778840b1a438c0ccc98c87cc%7C0%7C0%7C638018985953903981%7CUnknown%7CTWFpbGZsb3d8eyJWIjoiMC4wLjAwMDAiLCJQIjoiV2luMzIiLCJBTiI6Ik1haWwiLCJXVCI6Mn0%3D%7C3000%7C%7C%7C&amp;sdata=RnIt1FS3o%2BNPQ5LOLrC7MS7Ma%2BmqV9jftihOVLJqZLA%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lissa.venecek@arb.ca.gov" TargetMode="External"/><Relationship Id="rId22" Type="http://schemas.openxmlformats.org/officeDocument/2006/relationships/hyperlink" Target="https://oehha.ca.gov/media/downloads/crnr/2015guidancemanual.pdf" TargetMode="External"/><Relationship Id="rId27" Type="http://schemas.openxmlformats.org/officeDocument/2006/relationships/hyperlink" Target="https://ww2.arb.ca.gov/applications/facility-search-engine" TargetMode="External"/><Relationship Id="rId30" Type="http://schemas.openxmlformats.org/officeDocument/2006/relationships/hyperlink" Target="https://ww2.arb.ca.gov/sites/default/files/2022-10/Appendix%20E.pdf" TargetMode="External"/><Relationship Id="rId35" Type="http://schemas.openxmlformats.org/officeDocument/2006/relationships/hyperlink" Target="https://ww2.arb.ca.gov/sites/default/files/2022-10/Appendix%20A.pdf" TargetMode="External"/><Relationship Id="rId43" Type="http://schemas.openxmlformats.org/officeDocument/2006/relationships/hyperlink" Target="https://ww2.arb.ca.gov/sites/default/files/classic/toxics/healthval/contable10062023.pdf" TargetMode="External"/><Relationship Id="rId48" Type="http://schemas.openxmlformats.org/officeDocument/2006/relationships/hyperlink" Target="https://ww2.arb.ca.gov/sites/default/files/barcu/regact/2020/hotspots2020/eicgappb-iifro.pdf"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2.arb.ca.gov/rulemaking/2020/hotspots2020" TargetMode="External"/><Relationship Id="rId17" Type="http://schemas.openxmlformats.org/officeDocument/2006/relationships/hyperlink" Target="https://ww2.arb.ca.gov/sites/default/files/2022-10/EICG%20Report.pdf" TargetMode="External"/><Relationship Id="rId25" Type="http://schemas.openxmlformats.org/officeDocument/2006/relationships/hyperlink" Target="https://ww2.arb.ca.gov/our-work/programs/ab-2588-air-toxics-hot-spots/hot-spots-inventory-guidelines" TargetMode="External"/><Relationship Id="rId33" Type="http://schemas.openxmlformats.org/officeDocument/2006/relationships/hyperlink" Target="https://ww2.arb.ca.gov/sites/default/files/2022-10/EICG%20Report.pdf" TargetMode="External"/><Relationship Id="rId38" Type="http://schemas.openxmlformats.org/officeDocument/2006/relationships/hyperlink" Target="https://ww2.arb.ca.gov/sites/default/files/2022-10/Appendix%20A.pdf" TargetMode="External"/><Relationship Id="rId46" Type="http://schemas.openxmlformats.org/officeDocument/2006/relationships/hyperlink" Target="https://ww2.arb.ca.gov/sites/default/files/classic/toxics/healthval/contable10062023.pdf" TargetMode="External"/><Relationship Id="rId20" Type="http://schemas.openxmlformats.org/officeDocument/2006/relationships/hyperlink" Target="https://oehha.ca.gov/air/air-toxics-hot-spots" TargetMode="External"/><Relationship Id="rId41" Type="http://schemas.openxmlformats.org/officeDocument/2006/relationships/hyperlink" Target="https://ww2.arb.ca.gov/sites/default/files/2022-10/EICG%20Report.pdf"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2.arb.ca.gov/california-air-districts" TargetMode="External"/><Relationship Id="rId23" Type="http://schemas.openxmlformats.org/officeDocument/2006/relationships/hyperlink" Target="https://ww2.arb.ca.gov/sites/default/files/classic/toxics/healthval/contable10062023.pdf" TargetMode="External"/><Relationship Id="rId28" Type="http://schemas.openxmlformats.org/officeDocument/2006/relationships/hyperlink" Target="https://ww2.arb.ca.gov/sites/default/files/2022-10/Appendix%20B-II.pdf" TargetMode="External"/><Relationship Id="rId36" Type="http://schemas.openxmlformats.org/officeDocument/2006/relationships/hyperlink" Target="https://ww2.arb.ca.gov/sites/default/files/2022-10/Appendix%20A.pdf" TargetMode="External"/><Relationship Id="rId49" Type="http://schemas.openxmlformats.org/officeDocument/2006/relationships/hyperlink" Target="mailto:ab2588ei@arb.ca.gov" TargetMode="External"/><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ww2.arb.ca.gov/sites/default/files/2022-10/Appendix%20E.pdf" TargetMode="External"/><Relationship Id="rId44" Type="http://schemas.openxmlformats.org/officeDocument/2006/relationships/hyperlink" Target="https://oehha.ca.gov/media/downloads/crnr/2015guidancemanual.pdf" TargetMode="External"/><Relationship Id="rId5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2.arb.ca.gov/sites/default/files/2020-07/19_06_28_arb_srp_ADA.pdf" TargetMode="External"/><Relationship Id="rId3" Type="http://schemas.openxmlformats.org/officeDocument/2006/relationships/hyperlink" Target="https://oehha.ca.gov/media/downloads/proposition-65/p65chemicalslist.pdf" TargetMode="External"/><Relationship Id="rId7" Type="http://schemas.openxmlformats.org/officeDocument/2006/relationships/hyperlink" Target="https://www.cdph.ca.gov/Programs/CCDPHP/DEODC/OHB/HESIS/CDPH%20Document%20Library/SB193-1-BP-Background.pdf" TargetMode="External"/><Relationship Id="rId12" Type="http://schemas.openxmlformats.org/officeDocument/2006/relationships/hyperlink" Target="https://www.federalregister.gov/documents/2019/08/14/2019-17148/significant-newuse-rules-on-certain-chemical-substances-19-4b" TargetMode="External"/><Relationship Id="rId2" Type="http://schemas.openxmlformats.org/officeDocument/2006/relationships/hyperlink" Target="https://ww2.arb.ca.gov/sites/default/files/2022-08/2022_Gas_Station_IWG_Supplemental_%20Policy_Guidance.pdf" TargetMode="External"/><Relationship Id="rId1" Type="http://schemas.openxmlformats.org/officeDocument/2006/relationships/hyperlink" Target="https://www.epa.gov/risk/framework-cumulative-risk-assessment" TargetMode="External"/><Relationship Id="rId6" Type="http://schemas.openxmlformats.org/officeDocument/2006/relationships/hyperlink" Target="https://oehha.ca.gov/media/downloads/crnr/tsdcancerpotency.pdf" TargetMode="External"/><Relationship Id="rId11" Type="http://schemas.openxmlformats.org/officeDocument/2006/relationships/hyperlink" Target="https://pubs.acs.org/doi/pdf/10.1021/acs.estlett.0c00255" TargetMode="External"/><Relationship Id="rId5" Type="http://schemas.openxmlformats.org/officeDocument/2006/relationships/hyperlink" Target="https://oehha.ca.gov/media/downloads/crnr/pcbtfiur080720.pdf" TargetMode="External"/><Relationship Id="rId10" Type="http://schemas.openxmlformats.org/officeDocument/2006/relationships/hyperlink" Target="https://www.oecd.org/chemicalsafety/portal-perfluorinated-chemicals/" TargetMode="External"/><Relationship Id="rId4" Type="http://schemas.openxmlformats.org/officeDocument/2006/relationships/hyperlink" Target="https://monographs.iarc.fr/list-of-classifications/" TargetMode="External"/><Relationship Id="rId9" Type="http://schemas.openxmlformats.org/officeDocument/2006/relationships/hyperlink" Target="https://ww2.arb.ca.gov/sites/default/files/2020-07/19_10_04_arb_srp_A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venir LT Std 55 Roman"/>
        <a:ea typeface="Times New Roman"/>
        <a:cs typeface="Times New Roman"/>
      </a:majorFont>
      <a:minorFont>
        <a:latin typeface="Avenir LT Std 55 Roman"/>
        <a:ea typeface="Arial Unicode MS"/>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a:noFill/>
        </a:ln>
        <a:effectLst>
          <a:outerShdw blurRad="38100" dist="19685" dir="5400000" rotWithShape="0">
            <a:srgbClr val="000000">
              <a:alpha val="38000"/>
            </a:srgbClr>
          </a:outerShdw>
        </a:effectLst>
        <a:sp3d/>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6F6BD0599F3A4FA6CCD7B5E6462884" ma:contentTypeVersion="15" ma:contentTypeDescription="Create a new document." ma:contentTypeScope="" ma:versionID="62e21a2818e407e4d36bc2f604f34540">
  <xsd:schema xmlns:xsd="http://www.w3.org/2001/XMLSchema" xmlns:xs="http://www.w3.org/2001/XMLSchema" xmlns:p="http://schemas.microsoft.com/office/2006/metadata/properties" xmlns:ns2="6cf03daf-f362-4c6d-b7d4-cfa518cde295" xmlns:ns3="4e3605fd-2326-4671-a273-916c688c4a7b" targetNamespace="http://schemas.microsoft.com/office/2006/metadata/properties" ma:root="true" ma:fieldsID="d17fce0a39d853d6ac3e3f9b0111c576" ns2:_="" ns3:_="">
    <xsd:import namespace="6cf03daf-f362-4c6d-b7d4-cfa518cde295"/>
    <xsd:import namespace="4e3605fd-2326-4671-a273-916c688c4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03daf-f362-4c6d-b7d4-cfa518cde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3605fd-2326-4671-a273-916c688c4a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e04da2e-4cd7-441d-babd-8c6f183296f6}" ma:internalName="TaxCatchAll" ma:showField="CatchAllData" ma:web="4e3605fd-2326-4671-a273-916c688c4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3605fd-2326-4671-a273-916c688c4a7b" xsi:nil="true"/>
    <SharedWithUsers xmlns="4e3605fd-2326-4671-a273-916c688c4a7b">
      <UserInfo>
        <DisplayName>Traverso, Melissa@ARB</DisplayName>
        <AccountId>117</AccountId>
        <AccountType/>
      </UserInfo>
      <UserInfo>
        <DisplayName>Ruiz, Gabe@ARB</DisplayName>
        <AccountId>99</AccountId>
        <AccountType/>
      </UserInfo>
      <UserInfo>
        <DisplayName>SharingLinks.e7d2afa7-447d-4e11-8e11-f3e9881a28d2.Flexible.8c70fd4c-c2a2-465f-8b27-ba251ce064a0</DisplayName>
        <AccountId>201</AccountId>
        <AccountType/>
      </UserInfo>
      <UserInfo>
        <DisplayName>Dang, Connie@ARB</DisplayName>
        <AccountId>72</AccountId>
        <AccountType/>
      </UserInfo>
      <UserInfo>
        <DisplayName>Flores, Annemarie@ARB</DisplayName>
        <AccountId>69</AccountId>
        <AccountType/>
      </UserInfo>
      <UserInfo>
        <DisplayName>Schwehr, Mary Beth@ARB</DisplayName>
        <AccountId>129</AccountId>
        <AccountType/>
      </UserInfo>
      <UserInfo>
        <DisplayName>Dolney, Nicole@ARB</DisplayName>
        <AccountId>206</AccountId>
        <AccountType/>
      </UserInfo>
      <UserInfo>
        <DisplayName>Klein, Anne@ARB</DisplayName>
        <AccountId>119</AccountId>
        <AccountType/>
      </UserInfo>
      <UserInfo>
        <DisplayName>Widger, William@ARB</DisplayName>
        <AccountId>118</AccountId>
        <AccountType/>
      </UserInfo>
      <UserInfo>
        <DisplayName>Hughes, Vernon@ARB</DisplayName>
        <AccountId>237</AccountId>
        <AccountType/>
      </UserInfo>
      <UserInfo>
        <DisplayName>Gong, Longwen@ARB</DisplayName>
        <AccountId>258</AccountId>
        <AccountType/>
      </UserInfo>
    </SharedWithUsers>
    <lcf76f155ced4ddcb4097134ff3c332f xmlns="6cf03daf-f362-4c6d-b7d4-cfa518cde2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A076C-C1CF-4536-BA85-1F012B440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03daf-f362-4c6d-b7d4-cfa518cde295"/>
    <ds:schemaRef ds:uri="4e3605fd-2326-4671-a273-916c688c4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AA70C-0232-4B64-A658-01C8DA0B03C6}">
  <ds:schemaRefs>
    <ds:schemaRef ds:uri="http://schemas.microsoft.com/sharepoint/v3/contenttype/forms"/>
  </ds:schemaRefs>
</ds:datastoreItem>
</file>

<file path=customXml/itemProps3.xml><?xml version="1.0" encoding="utf-8"?>
<ds:datastoreItem xmlns:ds="http://schemas.openxmlformats.org/officeDocument/2006/customXml" ds:itemID="{3DF375B9-81B8-4D05-8327-11267D39CD13}">
  <ds:schemaRefs>
    <ds:schemaRef ds:uri="http://schemas.microsoft.com/office/2006/metadata/properties"/>
    <ds:schemaRef ds:uri="http://schemas.microsoft.com/office/infopath/2007/PartnerControls"/>
    <ds:schemaRef ds:uri="4e3605fd-2326-4671-a273-916c688c4a7b"/>
    <ds:schemaRef ds:uri="6cf03daf-f362-4c6d-b7d4-cfa518cde295"/>
  </ds:schemaRefs>
</ds:datastoreItem>
</file>

<file path=customXml/itemProps4.xml><?xml version="1.0" encoding="utf-8"?>
<ds:datastoreItem xmlns:ds="http://schemas.openxmlformats.org/officeDocument/2006/customXml" ds:itemID="{E3A578EE-C554-4240-9ED5-B61A6F9B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10758</Words>
  <Characters>61322</Characters>
  <Application>Microsoft Office Word</Application>
  <DocSecurity>4</DocSecurity>
  <Lines>511</Lines>
  <Paragraphs>143</Paragraphs>
  <ScaleCrop>false</ScaleCrop>
  <Company>California Air Resources Board</Company>
  <LinksUpToDate>false</LinksUpToDate>
  <CharactersWithSpaces>71937</CharactersWithSpaces>
  <SharedDoc>false</SharedDoc>
  <HLinks>
    <vt:vector size="606" baseType="variant">
      <vt:variant>
        <vt:i4>6619176</vt:i4>
      </vt:variant>
      <vt:variant>
        <vt:i4>423</vt:i4>
      </vt:variant>
      <vt:variant>
        <vt:i4>0</vt:i4>
      </vt:variant>
      <vt:variant>
        <vt:i4>5</vt:i4>
      </vt:variant>
      <vt:variant>
        <vt:lpwstr>https://gcc02.safelinks.protection.outlook.com/?url=https%3A%2F%2Fww2.arb.ca.gov%2Fresources%2Fdocuments%2Fconsolidated-table-oehha-carb-approved-risk-assessment-health-values&amp;data=05%7C01%7CRima.Woods%40oehha.ca.gov%7C7c871e42536a4cdd2e1908dbf20c1a1a%7C37def2e8f94a4f25a417deca6cccd59c%7C0%7C0%7C638369906036730712%7CUnknown%7CTWFpbGZsb3d8eyJWIjoiMC4wLjAwMDAiLCJQIjoiV2luMzIiLCJBTiI6Ik1haWwiLCJXVCI6Mn0%3D%7C3000%7C%7C%7C&amp;sdata=kK%2BEqcNFZuR1VKoSHDbrOFSWXdtfWdkv7hHj5Pa9v88%3D&amp;reserved=0</vt:lpwstr>
      </vt:variant>
      <vt:variant>
        <vt:lpwstr/>
      </vt:variant>
      <vt:variant>
        <vt:i4>109</vt:i4>
      </vt:variant>
      <vt:variant>
        <vt:i4>420</vt:i4>
      </vt:variant>
      <vt:variant>
        <vt:i4>0</vt:i4>
      </vt:variant>
      <vt:variant>
        <vt:i4>5</vt:i4>
      </vt:variant>
      <vt:variant>
        <vt:lpwstr>mailto:ab2588ei@arb.ca.gov</vt:lpwstr>
      </vt:variant>
      <vt:variant>
        <vt:lpwstr/>
      </vt:variant>
      <vt:variant>
        <vt:i4>720981</vt:i4>
      </vt:variant>
      <vt:variant>
        <vt:i4>417</vt:i4>
      </vt:variant>
      <vt:variant>
        <vt:i4>0</vt:i4>
      </vt:variant>
      <vt:variant>
        <vt:i4>5</vt:i4>
      </vt:variant>
      <vt:variant>
        <vt:lpwstr>https://ww2.arb.ca.gov/sites/default/files/barcu/regact/2020/hotspots2020/eicgappb-iifro.pdf</vt:lpwstr>
      </vt:variant>
      <vt:variant>
        <vt:lpwstr/>
      </vt:variant>
      <vt:variant>
        <vt:i4>1572940</vt:i4>
      </vt:variant>
      <vt:variant>
        <vt:i4>414</vt:i4>
      </vt:variant>
      <vt:variant>
        <vt:i4>0</vt:i4>
      </vt:variant>
      <vt:variant>
        <vt:i4>5</vt:i4>
      </vt:variant>
      <vt:variant>
        <vt:lpwstr>https://ww2.arb.ca.gov/sites/default/files/classic/toxics/healthval/contable10062023.pdf</vt:lpwstr>
      </vt:variant>
      <vt:variant>
        <vt:lpwstr/>
      </vt:variant>
      <vt:variant>
        <vt:i4>1572940</vt:i4>
      </vt:variant>
      <vt:variant>
        <vt:i4>411</vt:i4>
      </vt:variant>
      <vt:variant>
        <vt:i4>0</vt:i4>
      </vt:variant>
      <vt:variant>
        <vt:i4>5</vt:i4>
      </vt:variant>
      <vt:variant>
        <vt:lpwstr>https://ww2.arb.ca.gov/sites/default/files/classic/toxics/healthval/contable10062023.pdf</vt:lpwstr>
      </vt:variant>
      <vt:variant>
        <vt:lpwstr/>
      </vt:variant>
      <vt:variant>
        <vt:i4>1310730</vt:i4>
      </vt:variant>
      <vt:variant>
        <vt:i4>408</vt:i4>
      </vt:variant>
      <vt:variant>
        <vt:i4>0</vt:i4>
      </vt:variant>
      <vt:variant>
        <vt:i4>5</vt:i4>
      </vt:variant>
      <vt:variant>
        <vt:lpwstr>https://oehha.ca.gov/media/downloads/crnr/2015guidancemanual.pdf</vt:lpwstr>
      </vt:variant>
      <vt:variant>
        <vt:lpwstr/>
      </vt:variant>
      <vt:variant>
        <vt:i4>1310730</vt:i4>
      </vt:variant>
      <vt:variant>
        <vt:i4>405</vt:i4>
      </vt:variant>
      <vt:variant>
        <vt:i4>0</vt:i4>
      </vt:variant>
      <vt:variant>
        <vt:i4>5</vt:i4>
      </vt:variant>
      <vt:variant>
        <vt:lpwstr>https://oehha.ca.gov/media/downloads/crnr/2015guidancemanual.pdf</vt:lpwstr>
      </vt:variant>
      <vt:variant>
        <vt:lpwstr/>
      </vt:variant>
      <vt:variant>
        <vt:i4>1572940</vt:i4>
      </vt:variant>
      <vt:variant>
        <vt:i4>402</vt:i4>
      </vt:variant>
      <vt:variant>
        <vt:i4>0</vt:i4>
      </vt:variant>
      <vt:variant>
        <vt:i4>5</vt:i4>
      </vt:variant>
      <vt:variant>
        <vt:lpwstr>https://ww2.arb.ca.gov/sites/default/files/classic/toxics/healthval/contable10062023.pdf</vt:lpwstr>
      </vt:variant>
      <vt:variant>
        <vt:lpwstr/>
      </vt:variant>
      <vt:variant>
        <vt:i4>3735586</vt:i4>
      </vt:variant>
      <vt:variant>
        <vt:i4>399</vt:i4>
      </vt:variant>
      <vt:variant>
        <vt:i4>0</vt:i4>
      </vt:variant>
      <vt:variant>
        <vt:i4>5</vt:i4>
      </vt:variant>
      <vt:variant>
        <vt:lpwstr>https://gcc02.safelinks.protection.outlook.com/?url=https%3A%2F%2Fww2.arb.ca.gov%2Fsites%2Fdefault%2Ffiles%2F2022-10%2FAppendix%2520A.pdf&amp;data=05%7C01%7CJohn.Dingman%40arb.ca.gov%7Cc593832d5af04f0a49c608dab2e32612%7C9de5aaee778840b1a438c0ccc98c87cc%7C0%7C0%7C638018985953903981%7CUnknown%7CTWFpbGZsb3d8eyJWIjoiMC4wLjAwMDAiLCJQIjoiV2luMzIiLCJBTiI6Ik1haWwiLCJXVCI6Mn0%3D%7C3000%7C%7C%7C&amp;sdata=RnIt1FS3o%2BNPQ5LOLrC7MS7Ma%2BmqV9jftihOVLJqZLA%3D&amp;reserved=0</vt:lpwstr>
      </vt:variant>
      <vt:variant>
        <vt:lpwstr/>
      </vt:variant>
      <vt:variant>
        <vt:i4>3735652</vt:i4>
      </vt:variant>
      <vt:variant>
        <vt:i4>393</vt:i4>
      </vt:variant>
      <vt:variant>
        <vt:i4>0</vt:i4>
      </vt:variant>
      <vt:variant>
        <vt:i4>5</vt:i4>
      </vt:variant>
      <vt:variant>
        <vt:lpwstr>https://ww2.arb.ca.gov/sites/default/files/2022-10/EICG Report.pdf</vt:lpwstr>
      </vt:variant>
      <vt:variant>
        <vt:lpwstr/>
      </vt:variant>
      <vt:variant>
        <vt:i4>720968</vt:i4>
      </vt:variant>
      <vt:variant>
        <vt:i4>387</vt:i4>
      </vt:variant>
      <vt:variant>
        <vt:i4>0</vt:i4>
      </vt:variant>
      <vt:variant>
        <vt:i4>5</vt:i4>
      </vt:variant>
      <vt:variant>
        <vt:lpwstr>https://ww2.arb.ca.gov/sites/default/files/2022-10/Appendix A.pdf</vt:lpwstr>
      </vt:variant>
      <vt:variant>
        <vt:lpwstr/>
      </vt:variant>
      <vt:variant>
        <vt:i4>720968</vt:i4>
      </vt:variant>
      <vt:variant>
        <vt:i4>384</vt:i4>
      </vt:variant>
      <vt:variant>
        <vt:i4>0</vt:i4>
      </vt:variant>
      <vt:variant>
        <vt:i4>5</vt:i4>
      </vt:variant>
      <vt:variant>
        <vt:lpwstr>https://ww2.arb.ca.gov/sites/default/files/2022-10/Appendix A.pdf</vt:lpwstr>
      </vt:variant>
      <vt:variant>
        <vt:lpwstr/>
      </vt:variant>
      <vt:variant>
        <vt:i4>720968</vt:i4>
      </vt:variant>
      <vt:variant>
        <vt:i4>378</vt:i4>
      </vt:variant>
      <vt:variant>
        <vt:i4>0</vt:i4>
      </vt:variant>
      <vt:variant>
        <vt:i4>5</vt:i4>
      </vt:variant>
      <vt:variant>
        <vt:lpwstr>https://ww2.arb.ca.gov/sites/default/files/2022-10/Appendix A.pdf</vt:lpwstr>
      </vt:variant>
      <vt:variant>
        <vt:lpwstr/>
      </vt:variant>
      <vt:variant>
        <vt:i4>720968</vt:i4>
      </vt:variant>
      <vt:variant>
        <vt:i4>375</vt:i4>
      </vt:variant>
      <vt:variant>
        <vt:i4>0</vt:i4>
      </vt:variant>
      <vt:variant>
        <vt:i4>5</vt:i4>
      </vt:variant>
      <vt:variant>
        <vt:lpwstr>https://ww2.arb.ca.gov/sites/default/files/2022-10/Appendix A.pdf</vt:lpwstr>
      </vt:variant>
      <vt:variant>
        <vt:lpwstr/>
      </vt:variant>
      <vt:variant>
        <vt:i4>720968</vt:i4>
      </vt:variant>
      <vt:variant>
        <vt:i4>372</vt:i4>
      </vt:variant>
      <vt:variant>
        <vt:i4>0</vt:i4>
      </vt:variant>
      <vt:variant>
        <vt:i4>5</vt:i4>
      </vt:variant>
      <vt:variant>
        <vt:lpwstr>https://ww2.arb.ca.gov/sites/default/files/2022-10/Appendix A.pdf</vt:lpwstr>
      </vt:variant>
      <vt:variant>
        <vt:lpwstr/>
      </vt:variant>
      <vt:variant>
        <vt:i4>720968</vt:i4>
      </vt:variant>
      <vt:variant>
        <vt:i4>369</vt:i4>
      </vt:variant>
      <vt:variant>
        <vt:i4>0</vt:i4>
      </vt:variant>
      <vt:variant>
        <vt:i4>5</vt:i4>
      </vt:variant>
      <vt:variant>
        <vt:lpwstr>https://ww2.arb.ca.gov/sites/default/files/2022-10/Appendix A.pdf</vt:lpwstr>
      </vt:variant>
      <vt:variant>
        <vt:lpwstr/>
      </vt:variant>
      <vt:variant>
        <vt:i4>720968</vt:i4>
      </vt:variant>
      <vt:variant>
        <vt:i4>366</vt:i4>
      </vt:variant>
      <vt:variant>
        <vt:i4>0</vt:i4>
      </vt:variant>
      <vt:variant>
        <vt:i4>5</vt:i4>
      </vt:variant>
      <vt:variant>
        <vt:lpwstr>https://ww2.arb.ca.gov/sites/default/files/2022-10/Appendix A.pdf</vt:lpwstr>
      </vt:variant>
      <vt:variant>
        <vt:lpwstr/>
      </vt:variant>
      <vt:variant>
        <vt:i4>3735652</vt:i4>
      </vt:variant>
      <vt:variant>
        <vt:i4>363</vt:i4>
      </vt:variant>
      <vt:variant>
        <vt:i4>0</vt:i4>
      </vt:variant>
      <vt:variant>
        <vt:i4>5</vt:i4>
      </vt:variant>
      <vt:variant>
        <vt:lpwstr>https://ww2.arb.ca.gov/sites/default/files/2022-10/EICG Report.pdf</vt:lpwstr>
      </vt:variant>
      <vt:variant>
        <vt:lpwstr/>
      </vt:variant>
      <vt:variant>
        <vt:i4>720973</vt:i4>
      </vt:variant>
      <vt:variant>
        <vt:i4>360</vt:i4>
      </vt:variant>
      <vt:variant>
        <vt:i4>0</vt:i4>
      </vt:variant>
      <vt:variant>
        <vt:i4>5</vt:i4>
      </vt:variant>
      <vt:variant>
        <vt:lpwstr>https://ww2.arb.ca.gov/sites/default/files/2022-10/Appendix D.pdf</vt:lpwstr>
      </vt:variant>
      <vt:variant>
        <vt:lpwstr/>
      </vt:variant>
      <vt:variant>
        <vt:i4>720972</vt:i4>
      </vt:variant>
      <vt:variant>
        <vt:i4>357</vt:i4>
      </vt:variant>
      <vt:variant>
        <vt:i4>0</vt:i4>
      </vt:variant>
      <vt:variant>
        <vt:i4>5</vt:i4>
      </vt:variant>
      <vt:variant>
        <vt:lpwstr>https://ww2.arb.ca.gov/sites/default/files/2022-10/Appendix E.pdf</vt:lpwstr>
      </vt:variant>
      <vt:variant>
        <vt:lpwstr/>
      </vt:variant>
      <vt:variant>
        <vt:i4>720972</vt:i4>
      </vt:variant>
      <vt:variant>
        <vt:i4>354</vt:i4>
      </vt:variant>
      <vt:variant>
        <vt:i4>0</vt:i4>
      </vt:variant>
      <vt:variant>
        <vt:i4>5</vt:i4>
      </vt:variant>
      <vt:variant>
        <vt:lpwstr>https://ww2.arb.ca.gov/sites/default/files/2022-10/Appendix E.pdf</vt:lpwstr>
      </vt:variant>
      <vt:variant>
        <vt:lpwstr/>
      </vt:variant>
      <vt:variant>
        <vt:i4>720972</vt:i4>
      </vt:variant>
      <vt:variant>
        <vt:i4>351</vt:i4>
      </vt:variant>
      <vt:variant>
        <vt:i4>0</vt:i4>
      </vt:variant>
      <vt:variant>
        <vt:i4>5</vt:i4>
      </vt:variant>
      <vt:variant>
        <vt:lpwstr>https://ww2.arb.ca.gov/sites/default/files/2022-10/Appendix E.pdf</vt:lpwstr>
      </vt:variant>
      <vt:variant>
        <vt:lpwstr/>
      </vt:variant>
      <vt:variant>
        <vt:i4>1245208</vt:i4>
      </vt:variant>
      <vt:variant>
        <vt:i4>348</vt:i4>
      </vt:variant>
      <vt:variant>
        <vt:i4>0</vt:i4>
      </vt:variant>
      <vt:variant>
        <vt:i4>5</vt:i4>
      </vt:variant>
      <vt:variant>
        <vt:lpwstr>https://ww2.arb.ca.gov/sites/default/files/2022-10/Appendix B-II.pdf</vt:lpwstr>
      </vt:variant>
      <vt:variant>
        <vt:lpwstr/>
      </vt:variant>
      <vt:variant>
        <vt:i4>7536703</vt:i4>
      </vt:variant>
      <vt:variant>
        <vt:i4>345</vt:i4>
      </vt:variant>
      <vt:variant>
        <vt:i4>0</vt:i4>
      </vt:variant>
      <vt:variant>
        <vt:i4>5</vt:i4>
      </vt:variant>
      <vt:variant>
        <vt:lpwstr>https://ww2.arb.ca.gov/applications/facility-search-engine</vt:lpwstr>
      </vt:variant>
      <vt:variant>
        <vt:lpwstr/>
      </vt:variant>
      <vt:variant>
        <vt:i4>6488065</vt:i4>
      </vt:variant>
      <vt:variant>
        <vt:i4>342</vt:i4>
      </vt:variant>
      <vt:variant>
        <vt:i4>0</vt:i4>
      </vt:variant>
      <vt:variant>
        <vt:i4>5</vt:i4>
      </vt:variant>
      <vt:variant>
        <vt:lpwstr>https://public.govdelivery.com/accounts/CARB/subscriber/new?topic_id=listserv</vt:lpwstr>
      </vt:variant>
      <vt:variant>
        <vt:lpwstr/>
      </vt:variant>
      <vt:variant>
        <vt:i4>393228</vt:i4>
      </vt:variant>
      <vt:variant>
        <vt:i4>339</vt:i4>
      </vt:variant>
      <vt:variant>
        <vt:i4>0</vt:i4>
      </vt:variant>
      <vt:variant>
        <vt:i4>5</vt:i4>
      </vt:variant>
      <vt:variant>
        <vt:lpwstr>https://ww2.arb.ca.gov/our-work/programs/ab-2588-air-toxics-hot-spots/hot-spots-inventory-guidelines</vt:lpwstr>
      </vt:variant>
      <vt:variant>
        <vt:lpwstr/>
      </vt:variant>
      <vt:variant>
        <vt:i4>720968</vt:i4>
      </vt:variant>
      <vt:variant>
        <vt:i4>336</vt:i4>
      </vt:variant>
      <vt:variant>
        <vt:i4>0</vt:i4>
      </vt:variant>
      <vt:variant>
        <vt:i4>5</vt:i4>
      </vt:variant>
      <vt:variant>
        <vt:lpwstr>https://ww2.arb.ca.gov/sites/default/files/2022-10/Appendix A.pdf</vt:lpwstr>
      </vt:variant>
      <vt:variant>
        <vt:lpwstr/>
      </vt:variant>
      <vt:variant>
        <vt:i4>1572940</vt:i4>
      </vt:variant>
      <vt:variant>
        <vt:i4>333</vt:i4>
      </vt:variant>
      <vt:variant>
        <vt:i4>0</vt:i4>
      </vt:variant>
      <vt:variant>
        <vt:i4>5</vt:i4>
      </vt:variant>
      <vt:variant>
        <vt:lpwstr>https://ww2.arb.ca.gov/sites/default/files/classic/toxics/healthval/contable10062023.pdf</vt:lpwstr>
      </vt:variant>
      <vt:variant>
        <vt:lpwstr/>
      </vt:variant>
      <vt:variant>
        <vt:i4>1310730</vt:i4>
      </vt:variant>
      <vt:variant>
        <vt:i4>330</vt:i4>
      </vt:variant>
      <vt:variant>
        <vt:i4>0</vt:i4>
      </vt:variant>
      <vt:variant>
        <vt:i4>5</vt:i4>
      </vt:variant>
      <vt:variant>
        <vt:lpwstr>https://oehha.ca.gov/media/downloads/crnr/2015guidancemanual.pdf</vt:lpwstr>
      </vt:variant>
      <vt:variant>
        <vt:lpwstr/>
      </vt:variant>
      <vt:variant>
        <vt:i4>7143471</vt:i4>
      </vt:variant>
      <vt:variant>
        <vt:i4>327</vt:i4>
      </vt:variant>
      <vt:variant>
        <vt:i4>0</vt:i4>
      </vt:variant>
      <vt:variant>
        <vt:i4>5</vt:i4>
      </vt:variant>
      <vt:variant>
        <vt:lpwstr>https://ww2.arb.ca.gov/sites/default/files/classic/ab2588/CAPCOA Prioritization Guidelines - August 2016 FINAL.pdf</vt:lpwstr>
      </vt:variant>
      <vt:variant>
        <vt:lpwstr/>
      </vt:variant>
      <vt:variant>
        <vt:i4>4587612</vt:i4>
      </vt:variant>
      <vt:variant>
        <vt:i4>324</vt:i4>
      </vt:variant>
      <vt:variant>
        <vt:i4>0</vt:i4>
      </vt:variant>
      <vt:variant>
        <vt:i4>5</vt:i4>
      </vt:variant>
      <vt:variant>
        <vt:lpwstr>https://oehha.ca.gov/air/air-toxics-hot-spots</vt:lpwstr>
      </vt:variant>
      <vt:variant>
        <vt:lpwstr/>
      </vt:variant>
      <vt:variant>
        <vt:i4>3735586</vt:i4>
      </vt:variant>
      <vt:variant>
        <vt:i4>321</vt:i4>
      </vt:variant>
      <vt:variant>
        <vt:i4>0</vt:i4>
      </vt:variant>
      <vt:variant>
        <vt:i4>5</vt:i4>
      </vt:variant>
      <vt:variant>
        <vt:lpwstr>https://gcc02.safelinks.protection.outlook.com/?url=https%3A%2F%2Fww2.arb.ca.gov%2Fsites%2Fdefault%2Ffiles%2F2022-10%2FAppendix%2520A.pdf&amp;data=05%7C01%7CJohn.Dingman%40arb.ca.gov%7Cc593832d5af04f0a49c608dab2e32612%7C9de5aaee778840b1a438c0ccc98c87cc%7C0%7C0%7C638018985953903981%7CUnknown%7CTWFpbGZsb3d8eyJWIjoiMC4wLjAwMDAiLCJQIjoiV2luMzIiLCJBTiI6Ik1haWwiLCJXVCI6Mn0%3D%7C3000%7C%7C%7C&amp;sdata=RnIt1FS3o%2BNPQ5LOLrC7MS7Ma%2BmqV9jftihOVLJqZLA%3D&amp;reserved=0</vt:lpwstr>
      </vt:variant>
      <vt:variant>
        <vt:lpwstr/>
      </vt:variant>
      <vt:variant>
        <vt:i4>3735586</vt:i4>
      </vt:variant>
      <vt:variant>
        <vt:i4>318</vt:i4>
      </vt:variant>
      <vt:variant>
        <vt:i4>0</vt:i4>
      </vt:variant>
      <vt:variant>
        <vt:i4>5</vt:i4>
      </vt:variant>
      <vt:variant>
        <vt:lpwstr>https://gcc02.safelinks.protection.outlook.com/?url=https%3A%2F%2Fww2.arb.ca.gov%2Fsites%2Fdefault%2Ffiles%2F2022-10%2FAppendix%2520A.pdf&amp;data=05%7C01%7CJohn.Dingman%40arb.ca.gov%7Cc593832d5af04f0a49c608dab2e32612%7C9de5aaee778840b1a438c0ccc98c87cc%7C0%7C0%7C638018985953903981%7CUnknown%7CTWFpbGZsb3d8eyJWIjoiMC4wLjAwMDAiLCJQIjoiV2luMzIiLCJBTiI6Ik1haWwiLCJXVCI6Mn0%3D%7C3000%7C%7C%7C&amp;sdata=RnIt1FS3o%2BNPQ5LOLrC7MS7Ma%2BmqV9jftihOVLJqZLA%3D&amp;reserved=0</vt:lpwstr>
      </vt:variant>
      <vt:variant>
        <vt:lpwstr/>
      </vt:variant>
      <vt:variant>
        <vt:i4>3735652</vt:i4>
      </vt:variant>
      <vt:variant>
        <vt:i4>315</vt:i4>
      </vt:variant>
      <vt:variant>
        <vt:i4>0</vt:i4>
      </vt:variant>
      <vt:variant>
        <vt:i4>5</vt:i4>
      </vt:variant>
      <vt:variant>
        <vt:lpwstr>https://ww2.arb.ca.gov/sites/default/files/2022-10/EICG Report.pdf</vt:lpwstr>
      </vt:variant>
      <vt:variant>
        <vt:lpwstr/>
      </vt:variant>
      <vt:variant>
        <vt:i4>393228</vt:i4>
      </vt:variant>
      <vt:variant>
        <vt:i4>312</vt:i4>
      </vt:variant>
      <vt:variant>
        <vt:i4>0</vt:i4>
      </vt:variant>
      <vt:variant>
        <vt:i4>5</vt:i4>
      </vt:variant>
      <vt:variant>
        <vt:lpwstr>https://ww2.arb.ca.gov/our-work/programs/ab-2588-air-toxics-hot-spots/hot-spots-inventory-guidelines</vt:lpwstr>
      </vt:variant>
      <vt:variant>
        <vt:lpwstr/>
      </vt:variant>
      <vt:variant>
        <vt:i4>8323190</vt:i4>
      </vt:variant>
      <vt:variant>
        <vt:i4>309</vt:i4>
      </vt:variant>
      <vt:variant>
        <vt:i4>0</vt:i4>
      </vt:variant>
      <vt:variant>
        <vt:i4>5</vt:i4>
      </vt:variant>
      <vt:variant>
        <vt:lpwstr>https://ww2.arb.ca.gov/california-air-districts</vt:lpwstr>
      </vt:variant>
      <vt:variant>
        <vt:lpwstr/>
      </vt:variant>
      <vt:variant>
        <vt:i4>1114174</vt:i4>
      </vt:variant>
      <vt:variant>
        <vt:i4>302</vt:i4>
      </vt:variant>
      <vt:variant>
        <vt:i4>0</vt:i4>
      </vt:variant>
      <vt:variant>
        <vt:i4>5</vt:i4>
      </vt:variant>
      <vt:variant>
        <vt:lpwstr/>
      </vt:variant>
      <vt:variant>
        <vt:lpwstr>_Toc187305885</vt:lpwstr>
      </vt:variant>
      <vt:variant>
        <vt:i4>1114174</vt:i4>
      </vt:variant>
      <vt:variant>
        <vt:i4>296</vt:i4>
      </vt:variant>
      <vt:variant>
        <vt:i4>0</vt:i4>
      </vt:variant>
      <vt:variant>
        <vt:i4>5</vt:i4>
      </vt:variant>
      <vt:variant>
        <vt:lpwstr/>
      </vt:variant>
      <vt:variant>
        <vt:lpwstr>_Toc187305884</vt:lpwstr>
      </vt:variant>
      <vt:variant>
        <vt:i4>1114174</vt:i4>
      </vt:variant>
      <vt:variant>
        <vt:i4>290</vt:i4>
      </vt:variant>
      <vt:variant>
        <vt:i4>0</vt:i4>
      </vt:variant>
      <vt:variant>
        <vt:i4>5</vt:i4>
      </vt:variant>
      <vt:variant>
        <vt:lpwstr/>
      </vt:variant>
      <vt:variant>
        <vt:lpwstr>_Toc187305883</vt:lpwstr>
      </vt:variant>
      <vt:variant>
        <vt:i4>1114174</vt:i4>
      </vt:variant>
      <vt:variant>
        <vt:i4>284</vt:i4>
      </vt:variant>
      <vt:variant>
        <vt:i4>0</vt:i4>
      </vt:variant>
      <vt:variant>
        <vt:i4>5</vt:i4>
      </vt:variant>
      <vt:variant>
        <vt:lpwstr/>
      </vt:variant>
      <vt:variant>
        <vt:lpwstr>_Toc187305882</vt:lpwstr>
      </vt:variant>
      <vt:variant>
        <vt:i4>1114174</vt:i4>
      </vt:variant>
      <vt:variant>
        <vt:i4>278</vt:i4>
      </vt:variant>
      <vt:variant>
        <vt:i4>0</vt:i4>
      </vt:variant>
      <vt:variant>
        <vt:i4>5</vt:i4>
      </vt:variant>
      <vt:variant>
        <vt:lpwstr/>
      </vt:variant>
      <vt:variant>
        <vt:lpwstr>_Toc187305881</vt:lpwstr>
      </vt:variant>
      <vt:variant>
        <vt:i4>1114174</vt:i4>
      </vt:variant>
      <vt:variant>
        <vt:i4>272</vt:i4>
      </vt:variant>
      <vt:variant>
        <vt:i4>0</vt:i4>
      </vt:variant>
      <vt:variant>
        <vt:i4>5</vt:i4>
      </vt:variant>
      <vt:variant>
        <vt:lpwstr/>
      </vt:variant>
      <vt:variant>
        <vt:lpwstr>_Toc187305880</vt:lpwstr>
      </vt:variant>
      <vt:variant>
        <vt:i4>1966142</vt:i4>
      </vt:variant>
      <vt:variant>
        <vt:i4>266</vt:i4>
      </vt:variant>
      <vt:variant>
        <vt:i4>0</vt:i4>
      </vt:variant>
      <vt:variant>
        <vt:i4>5</vt:i4>
      </vt:variant>
      <vt:variant>
        <vt:lpwstr/>
      </vt:variant>
      <vt:variant>
        <vt:lpwstr>_Toc187305879</vt:lpwstr>
      </vt:variant>
      <vt:variant>
        <vt:i4>1966142</vt:i4>
      </vt:variant>
      <vt:variant>
        <vt:i4>260</vt:i4>
      </vt:variant>
      <vt:variant>
        <vt:i4>0</vt:i4>
      </vt:variant>
      <vt:variant>
        <vt:i4>5</vt:i4>
      </vt:variant>
      <vt:variant>
        <vt:lpwstr/>
      </vt:variant>
      <vt:variant>
        <vt:lpwstr>_Toc187305878</vt:lpwstr>
      </vt:variant>
      <vt:variant>
        <vt:i4>1966142</vt:i4>
      </vt:variant>
      <vt:variant>
        <vt:i4>254</vt:i4>
      </vt:variant>
      <vt:variant>
        <vt:i4>0</vt:i4>
      </vt:variant>
      <vt:variant>
        <vt:i4>5</vt:i4>
      </vt:variant>
      <vt:variant>
        <vt:lpwstr/>
      </vt:variant>
      <vt:variant>
        <vt:lpwstr>_Toc187305877</vt:lpwstr>
      </vt:variant>
      <vt:variant>
        <vt:i4>1966142</vt:i4>
      </vt:variant>
      <vt:variant>
        <vt:i4>248</vt:i4>
      </vt:variant>
      <vt:variant>
        <vt:i4>0</vt:i4>
      </vt:variant>
      <vt:variant>
        <vt:i4>5</vt:i4>
      </vt:variant>
      <vt:variant>
        <vt:lpwstr/>
      </vt:variant>
      <vt:variant>
        <vt:lpwstr>_Toc187305876</vt:lpwstr>
      </vt:variant>
      <vt:variant>
        <vt:i4>1966142</vt:i4>
      </vt:variant>
      <vt:variant>
        <vt:i4>242</vt:i4>
      </vt:variant>
      <vt:variant>
        <vt:i4>0</vt:i4>
      </vt:variant>
      <vt:variant>
        <vt:i4>5</vt:i4>
      </vt:variant>
      <vt:variant>
        <vt:lpwstr/>
      </vt:variant>
      <vt:variant>
        <vt:lpwstr>_Toc187305875</vt:lpwstr>
      </vt:variant>
      <vt:variant>
        <vt:i4>1966142</vt:i4>
      </vt:variant>
      <vt:variant>
        <vt:i4>236</vt:i4>
      </vt:variant>
      <vt:variant>
        <vt:i4>0</vt:i4>
      </vt:variant>
      <vt:variant>
        <vt:i4>5</vt:i4>
      </vt:variant>
      <vt:variant>
        <vt:lpwstr/>
      </vt:variant>
      <vt:variant>
        <vt:lpwstr>_Toc187305874</vt:lpwstr>
      </vt:variant>
      <vt:variant>
        <vt:i4>1966142</vt:i4>
      </vt:variant>
      <vt:variant>
        <vt:i4>230</vt:i4>
      </vt:variant>
      <vt:variant>
        <vt:i4>0</vt:i4>
      </vt:variant>
      <vt:variant>
        <vt:i4>5</vt:i4>
      </vt:variant>
      <vt:variant>
        <vt:lpwstr/>
      </vt:variant>
      <vt:variant>
        <vt:lpwstr>_Toc187305873</vt:lpwstr>
      </vt:variant>
      <vt:variant>
        <vt:i4>1966142</vt:i4>
      </vt:variant>
      <vt:variant>
        <vt:i4>224</vt:i4>
      </vt:variant>
      <vt:variant>
        <vt:i4>0</vt:i4>
      </vt:variant>
      <vt:variant>
        <vt:i4>5</vt:i4>
      </vt:variant>
      <vt:variant>
        <vt:lpwstr/>
      </vt:variant>
      <vt:variant>
        <vt:lpwstr>_Toc187305872</vt:lpwstr>
      </vt:variant>
      <vt:variant>
        <vt:i4>1966142</vt:i4>
      </vt:variant>
      <vt:variant>
        <vt:i4>218</vt:i4>
      </vt:variant>
      <vt:variant>
        <vt:i4>0</vt:i4>
      </vt:variant>
      <vt:variant>
        <vt:i4>5</vt:i4>
      </vt:variant>
      <vt:variant>
        <vt:lpwstr/>
      </vt:variant>
      <vt:variant>
        <vt:lpwstr>_Toc187305871</vt:lpwstr>
      </vt:variant>
      <vt:variant>
        <vt:i4>1966142</vt:i4>
      </vt:variant>
      <vt:variant>
        <vt:i4>212</vt:i4>
      </vt:variant>
      <vt:variant>
        <vt:i4>0</vt:i4>
      </vt:variant>
      <vt:variant>
        <vt:i4>5</vt:i4>
      </vt:variant>
      <vt:variant>
        <vt:lpwstr/>
      </vt:variant>
      <vt:variant>
        <vt:lpwstr>_Toc187305870</vt:lpwstr>
      </vt:variant>
      <vt:variant>
        <vt:i4>2031678</vt:i4>
      </vt:variant>
      <vt:variant>
        <vt:i4>206</vt:i4>
      </vt:variant>
      <vt:variant>
        <vt:i4>0</vt:i4>
      </vt:variant>
      <vt:variant>
        <vt:i4>5</vt:i4>
      </vt:variant>
      <vt:variant>
        <vt:lpwstr/>
      </vt:variant>
      <vt:variant>
        <vt:lpwstr>_Toc187305869</vt:lpwstr>
      </vt:variant>
      <vt:variant>
        <vt:i4>2031678</vt:i4>
      </vt:variant>
      <vt:variant>
        <vt:i4>200</vt:i4>
      </vt:variant>
      <vt:variant>
        <vt:i4>0</vt:i4>
      </vt:variant>
      <vt:variant>
        <vt:i4>5</vt:i4>
      </vt:variant>
      <vt:variant>
        <vt:lpwstr/>
      </vt:variant>
      <vt:variant>
        <vt:lpwstr>_Toc187305868</vt:lpwstr>
      </vt:variant>
      <vt:variant>
        <vt:i4>2031678</vt:i4>
      </vt:variant>
      <vt:variant>
        <vt:i4>194</vt:i4>
      </vt:variant>
      <vt:variant>
        <vt:i4>0</vt:i4>
      </vt:variant>
      <vt:variant>
        <vt:i4>5</vt:i4>
      </vt:variant>
      <vt:variant>
        <vt:lpwstr/>
      </vt:variant>
      <vt:variant>
        <vt:lpwstr>_Toc187305867</vt:lpwstr>
      </vt:variant>
      <vt:variant>
        <vt:i4>2031678</vt:i4>
      </vt:variant>
      <vt:variant>
        <vt:i4>188</vt:i4>
      </vt:variant>
      <vt:variant>
        <vt:i4>0</vt:i4>
      </vt:variant>
      <vt:variant>
        <vt:i4>5</vt:i4>
      </vt:variant>
      <vt:variant>
        <vt:lpwstr/>
      </vt:variant>
      <vt:variant>
        <vt:lpwstr>_Toc187305866</vt:lpwstr>
      </vt:variant>
      <vt:variant>
        <vt:i4>2031678</vt:i4>
      </vt:variant>
      <vt:variant>
        <vt:i4>182</vt:i4>
      </vt:variant>
      <vt:variant>
        <vt:i4>0</vt:i4>
      </vt:variant>
      <vt:variant>
        <vt:i4>5</vt:i4>
      </vt:variant>
      <vt:variant>
        <vt:lpwstr/>
      </vt:variant>
      <vt:variant>
        <vt:lpwstr>_Toc187305865</vt:lpwstr>
      </vt:variant>
      <vt:variant>
        <vt:i4>2031678</vt:i4>
      </vt:variant>
      <vt:variant>
        <vt:i4>176</vt:i4>
      </vt:variant>
      <vt:variant>
        <vt:i4>0</vt:i4>
      </vt:variant>
      <vt:variant>
        <vt:i4>5</vt:i4>
      </vt:variant>
      <vt:variant>
        <vt:lpwstr/>
      </vt:variant>
      <vt:variant>
        <vt:lpwstr>_Toc187305864</vt:lpwstr>
      </vt:variant>
      <vt:variant>
        <vt:i4>2031678</vt:i4>
      </vt:variant>
      <vt:variant>
        <vt:i4>170</vt:i4>
      </vt:variant>
      <vt:variant>
        <vt:i4>0</vt:i4>
      </vt:variant>
      <vt:variant>
        <vt:i4>5</vt:i4>
      </vt:variant>
      <vt:variant>
        <vt:lpwstr/>
      </vt:variant>
      <vt:variant>
        <vt:lpwstr>_Toc187305863</vt:lpwstr>
      </vt:variant>
      <vt:variant>
        <vt:i4>2031678</vt:i4>
      </vt:variant>
      <vt:variant>
        <vt:i4>164</vt:i4>
      </vt:variant>
      <vt:variant>
        <vt:i4>0</vt:i4>
      </vt:variant>
      <vt:variant>
        <vt:i4>5</vt:i4>
      </vt:variant>
      <vt:variant>
        <vt:lpwstr/>
      </vt:variant>
      <vt:variant>
        <vt:lpwstr>_Toc187305862</vt:lpwstr>
      </vt:variant>
      <vt:variant>
        <vt:i4>2031678</vt:i4>
      </vt:variant>
      <vt:variant>
        <vt:i4>158</vt:i4>
      </vt:variant>
      <vt:variant>
        <vt:i4>0</vt:i4>
      </vt:variant>
      <vt:variant>
        <vt:i4>5</vt:i4>
      </vt:variant>
      <vt:variant>
        <vt:lpwstr/>
      </vt:variant>
      <vt:variant>
        <vt:lpwstr>_Toc187305861</vt:lpwstr>
      </vt:variant>
      <vt:variant>
        <vt:i4>2031678</vt:i4>
      </vt:variant>
      <vt:variant>
        <vt:i4>152</vt:i4>
      </vt:variant>
      <vt:variant>
        <vt:i4>0</vt:i4>
      </vt:variant>
      <vt:variant>
        <vt:i4>5</vt:i4>
      </vt:variant>
      <vt:variant>
        <vt:lpwstr/>
      </vt:variant>
      <vt:variant>
        <vt:lpwstr>_Toc187305860</vt:lpwstr>
      </vt:variant>
      <vt:variant>
        <vt:i4>1835070</vt:i4>
      </vt:variant>
      <vt:variant>
        <vt:i4>146</vt:i4>
      </vt:variant>
      <vt:variant>
        <vt:i4>0</vt:i4>
      </vt:variant>
      <vt:variant>
        <vt:i4>5</vt:i4>
      </vt:variant>
      <vt:variant>
        <vt:lpwstr/>
      </vt:variant>
      <vt:variant>
        <vt:lpwstr>_Toc187305859</vt:lpwstr>
      </vt:variant>
      <vt:variant>
        <vt:i4>1835070</vt:i4>
      </vt:variant>
      <vt:variant>
        <vt:i4>140</vt:i4>
      </vt:variant>
      <vt:variant>
        <vt:i4>0</vt:i4>
      </vt:variant>
      <vt:variant>
        <vt:i4>5</vt:i4>
      </vt:variant>
      <vt:variant>
        <vt:lpwstr/>
      </vt:variant>
      <vt:variant>
        <vt:lpwstr>_Toc187305858</vt:lpwstr>
      </vt:variant>
      <vt:variant>
        <vt:i4>1835070</vt:i4>
      </vt:variant>
      <vt:variant>
        <vt:i4>134</vt:i4>
      </vt:variant>
      <vt:variant>
        <vt:i4>0</vt:i4>
      </vt:variant>
      <vt:variant>
        <vt:i4>5</vt:i4>
      </vt:variant>
      <vt:variant>
        <vt:lpwstr/>
      </vt:variant>
      <vt:variant>
        <vt:lpwstr>_Toc187305857</vt:lpwstr>
      </vt:variant>
      <vt:variant>
        <vt:i4>1835070</vt:i4>
      </vt:variant>
      <vt:variant>
        <vt:i4>128</vt:i4>
      </vt:variant>
      <vt:variant>
        <vt:i4>0</vt:i4>
      </vt:variant>
      <vt:variant>
        <vt:i4>5</vt:i4>
      </vt:variant>
      <vt:variant>
        <vt:lpwstr/>
      </vt:variant>
      <vt:variant>
        <vt:lpwstr>_Toc187305856</vt:lpwstr>
      </vt:variant>
      <vt:variant>
        <vt:i4>1835070</vt:i4>
      </vt:variant>
      <vt:variant>
        <vt:i4>122</vt:i4>
      </vt:variant>
      <vt:variant>
        <vt:i4>0</vt:i4>
      </vt:variant>
      <vt:variant>
        <vt:i4>5</vt:i4>
      </vt:variant>
      <vt:variant>
        <vt:lpwstr/>
      </vt:variant>
      <vt:variant>
        <vt:lpwstr>_Toc187305855</vt:lpwstr>
      </vt:variant>
      <vt:variant>
        <vt:i4>1835070</vt:i4>
      </vt:variant>
      <vt:variant>
        <vt:i4>116</vt:i4>
      </vt:variant>
      <vt:variant>
        <vt:i4>0</vt:i4>
      </vt:variant>
      <vt:variant>
        <vt:i4>5</vt:i4>
      </vt:variant>
      <vt:variant>
        <vt:lpwstr/>
      </vt:variant>
      <vt:variant>
        <vt:lpwstr>_Toc187305854</vt:lpwstr>
      </vt:variant>
      <vt:variant>
        <vt:i4>1835070</vt:i4>
      </vt:variant>
      <vt:variant>
        <vt:i4>110</vt:i4>
      </vt:variant>
      <vt:variant>
        <vt:i4>0</vt:i4>
      </vt:variant>
      <vt:variant>
        <vt:i4>5</vt:i4>
      </vt:variant>
      <vt:variant>
        <vt:lpwstr/>
      </vt:variant>
      <vt:variant>
        <vt:lpwstr>_Toc187305853</vt:lpwstr>
      </vt:variant>
      <vt:variant>
        <vt:i4>1835070</vt:i4>
      </vt:variant>
      <vt:variant>
        <vt:i4>104</vt:i4>
      </vt:variant>
      <vt:variant>
        <vt:i4>0</vt:i4>
      </vt:variant>
      <vt:variant>
        <vt:i4>5</vt:i4>
      </vt:variant>
      <vt:variant>
        <vt:lpwstr/>
      </vt:variant>
      <vt:variant>
        <vt:lpwstr>_Toc187305852</vt:lpwstr>
      </vt:variant>
      <vt:variant>
        <vt:i4>1835070</vt:i4>
      </vt:variant>
      <vt:variant>
        <vt:i4>98</vt:i4>
      </vt:variant>
      <vt:variant>
        <vt:i4>0</vt:i4>
      </vt:variant>
      <vt:variant>
        <vt:i4>5</vt:i4>
      </vt:variant>
      <vt:variant>
        <vt:lpwstr/>
      </vt:variant>
      <vt:variant>
        <vt:lpwstr>_Toc187305851</vt:lpwstr>
      </vt:variant>
      <vt:variant>
        <vt:i4>1835070</vt:i4>
      </vt:variant>
      <vt:variant>
        <vt:i4>92</vt:i4>
      </vt:variant>
      <vt:variant>
        <vt:i4>0</vt:i4>
      </vt:variant>
      <vt:variant>
        <vt:i4>5</vt:i4>
      </vt:variant>
      <vt:variant>
        <vt:lpwstr/>
      </vt:variant>
      <vt:variant>
        <vt:lpwstr>_Toc187305850</vt:lpwstr>
      </vt:variant>
      <vt:variant>
        <vt:i4>1900606</vt:i4>
      </vt:variant>
      <vt:variant>
        <vt:i4>86</vt:i4>
      </vt:variant>
      <vt:variant>
        <vt:i4>0</vt:i4>
      </vt:variant>
      <vt:variant>
        <vt:i4>5</vt:i4>
      </vt:variant>
      <vt:variant>
        <vt:lpwstr/>
      </vt:variant>
      <vt:variant>
        <vt:lpwstr>_Toc187305849</vt:lpwstr>
      </vt:variant>
      <vt:variant>
        <vt:i4>1900606</vt:i4>
      </vt:variant>
      <vt:variant>
        <vt:i4>80</vt:i4>
      </vt:variant>
      <vt:variant>
        <vt:i4>0</vt:i4>
      </vt:variant>
      <vt:variant>
        <vt:i4>5</vt:i4>
      </vt:variant>
      <vt:variant>
        <vt:lpwstr/>
      </vt:variant>
      <vt:variant>
        <vt:lpwstr>_Toc187305848</vt:lpwstr>
      </vt:variant>
      <vt:variant>
        <vt:i4>1900606</vt:i4>
      </vt:variant>
      <vt:variant>
        <vt:i4>74</vt:i4>
      </vt:variant>
      <vt:variant>
        <vt:i4>0</vt:i4>
      </vt:variant>
      <vt:variant>
        <vt:i4>5</vt:i4>
      </vt:variant>
      <vt:variant>
        <vt:lpwstr/>
      </vt:variant>
      <vt:variant>
        <vt:lpwstr>_Toc187305847</vt:lpwstr>
      </vt:variant>
      <vt:variant>
        <vt:i4>1900606</vt:i4>
      </vt:variant>
      <vt:variant>
        <vt:i4>68</vt:i4>
      </vt:variant>
      <vt:variant>
        <vt:i4>0</vt:i4>
      </vt:variant>
      <vt:variant>
        <vt:i4>5</vt:i4>
      </vt:variant>
      <vt:variant>
        <vt:lpwstr/>
      </vt:variant>
      <vt:variant>
        <vt:lpwstr>_Toc187305846</vt:lpwstr>
      </vt:variant>
      <vt:variant>
        <vt:i4>1900606</vt:i4>
      </vt:variant>
      <vt:variant>
        <vt:i4>62</vt:i4>
      </vt:variant>
      <vt:variant>
        <vt:i4>0</vt:i4>
      </vt:variant>
      <vt:variant>
        <vt:i4>5</vt:i4>
      </vt:variant>
      <vt:variant>
        <vt:lpwstr/>
      </vt:variant>
      <vt:variant>
        <vt:lpwstr>_Toc187305845</vt:lpwstr>
      </vt:variant>
      <vt:variant>
        <vt:i4>1900606</vt:i4>
      </vt:variant>
      <vt:variant>
        <vt:i4>56</vt:i4>
      </vt:variant>
      <vt:variant>
        <vt:i4>0</vt:i4>
      </vt:variant>
      <vt:variant>
        <vt:i4>5</vt:i4>
      </vt:variant>
      <vt:variant>
        <vt:lpwstr/>
      </vt:variant>
      <vt:variant>
        <vt:lpwstr>_Toc187305844</vt:lpwstr>
      </vt:variant>
      <vt:variant>
        <vt:i4>1900606</vt:i4>
      </vt:variant>
      <vt:variant>
        <vt:i4>50</vt:i4>
      </vt:variant>
      <vt:variant>
        <vt:i4>0</vt:i4>
      </vt:variant>
      <vt:variant>
        <vt:i4>5</vt:i4>
      </vt:variant>
      <vt:variant>
        <vt:lpwstr/>
      </vt:variant>
      <vt:variant>
        <vt:lpwstr>_Toc187305843</vt:lpwstr>
      </vt:variant>
      <vt:variant>
        <vt:i4>1900606</vt:i4>
      </vt:variant>
      <vt:variant>
        <vt:i4>44</vt:i4>
      </vt:variant>
      <vt:variant>
        <vt:i4>0</vt:i4>
      </vt:variant>
      <vt:variant>
        <vt:i4>5</vt:i4>
      </vt:variant>
      <vt:variant>
        <vt:lpwstr/>
      </vt:variant>
      <vt:variant>
        <vt:lpwstr>_Toc187305842</vt:lpwstr>
      </vt:variant>
      <vt:variant>
        <vt:i4>1900606</vt:i4>
      </vt:variant>
      <vt:variant>
        <vt:i4>38</vt:i4>
      </vt:variant>
      <vt:variant>
        <vt:i4>0</vt:i4>
      </vt:variant>
      <vt:variant>
        <vt:i4>5</vt:i4>
      </vt:variant>
      <vt:variant>
        <vt:lpwstr/>
      </vt:variant>
      <vt:variant>
        <vt:lpwstr>_Toc187305841</vt:lpwstr>
      </vt:variant>
      <vt:variant>
        <vt:i4>1900606</vt:i4>
      </vt:variant>
      <vt:variant>
        <vt:i4>32</vt:i4>
      </vt:variant>
      <vt:variant>
        <vt:i4>0</vt:i4>
      </vt:variant>
      <vt:variant>
        <vt:i4>5</vt:i4>
      </vt:variant>
      <vt:variant>
        <vt:lpwstr/>
      </vt:variant>
      <vt:variant>
        <vt:lpwstr>_Toc187305840</vt:lpwstr>
      </vt:variant>
      <vt:variant>
        <vt:i4>1703998</vt:i4>
      </vt:variant>
      <vt:variant>
        <vt:i4>26</vt:i4>
      </vt:variant>
      <vt:variant>
        <vt:i4>0</vt:i4>
      </vt:variant>
      <vt:variant>
        <vt:i4>5</vt:i4>
      </vt:variant>
      <vt:variant>
        <vt:lpwstr/>
      </vt:variant>
      <vt:variant>
        <vt:lpwstr>_Toc187305839</vt:lpwstr>
      </vt:variant>
      <vt:variant>
        <vt:i4>1703998</vt:i4>
      </vt:variant>
      <vt:variant>
        <vt:i4>20</vt:i4>
      </vt:variant>
      <vt:variant>
        <vt:i4>0</vt:i4>
      </vt:variant>
      <vt:variant>
        <vt:i4>5</vt:i4>
      </vt:variant>
      <vt:variant>
        <vt:lpwstr/>
      </vt:variant>
      <vt:variant>
        <vt:lpwstr>_Toc187305838</vt:lpwstr>
      </vt:variant>
      <vt:variant>
        <vt:i4>1703998</vt:i4>
      </vt:variant>
      <vt:variant>
        <vt:i4>14</vt:i4>
      </vt:variant>
      <vt:variant>
        <vt:i4>0</vt:i4>
      </vt:variant>
      <vt:variant>
        <vt:i4>5</vt:i4>
      </vt:variant>
      <vt:variant>
        <vt:lpwstr/>
      </vt:variant>
      <vt:variant>
        <vt:lpwstr>_Toc187305837</vt:lpwstr>
      </vt:variant>
      <vt:variant>
        <vt:i4>4194404</vt:i4>
      </vt:variant>
      <vt:variant>
        <vt:i4>9</vt:i4>
      </vt:variant>
      <vt:variant>
        <vt:i4>0</vt:i4>
      </vt:variant>
      <vt:variant>
        <vt:i4>5</vt:i4>
      </vt:variant>
      <vt:variant>
        <vt:lpwstr>mailto:melissa.venecek@arb.ca.gov</vt:lpwstr>
      </vt:variant>
      <vt:variant>
        <vt:lpwstr/>
      </vt:variant>
      <vt:variant>
        <vt:i4>109</vt:i4>
      </vt:variant>
      <vt:variant>
        <vt:i4>6</vt:i4>
      </vt:variant>
      <vt:variant>
        <vt:i4>0</vt:i4>
      </vt:variant>
      <vt:variant>
        <vt:i4>5</vt:i4>
      </vt:variant>
      <vt:variant>
        <vt:lpwstr>mailto:ab2588ei@arb.ca.gov</vt:lpwstr>
      </vt:variant>
      <vt:variant>
        <vt:lpwstr/>
      </vt:variant>
      <vt:variant>
        <vt:i4>2424939</vt:i4>
      </vt:variant>
      <vt:variant>
        <vt:i4>3</vt:i4>
      </vt:variant>
      <vt:variant>
        <vt:i4>0</vt:i4>
      </vt:variant>
      <vt:variant>
        <vt:i4>5</vt:i4>
      </vt:variant>
      <vt:variant>
        <vt:lpwstr>https://ww2.arb.ca.gov/rulemaking/2020/hotspots2020</vt:lpwstr>
      </vt:variant>
      <vt:variant>
        <vt:lpwstr/>
      </vt:variant>
      <vt:variant>
        <vt:i4>393228</vt:i4>
      </vt:variant>
      <vt:variant>
        <vt:i4>0</vt:i4>
      </vt:variant>
      <vt:variant>
        <vt:i4>0</vt:i4>
      </vt:variant>
      <vt:variant>
        <vt:i4>5</vt:i4>
      </vt:variant>
      <vt:variant>
        <vt:lpwstr>https://ww2.arb.ca.gov/our-work/programs/ab-2588-air-toxics-hot-spots/hot-spots-inventory-guidelines</vt:lpwstr>
      </vt:variant>
      <vt:variant>
        <vt:lpwstr/>
      </vt:variant>
      <vt:variant>
        <vt:i4>4849736</vt:i4>
      </vt:variant>
      <vt:variant>
        <vt:i4>33</vt:i4>
      </vt:variant>
      <vt:variant>
        <vt:i4>0</vt:i4>
      </vt:variant>
      <vt:variant>
        <vt:i4>5</vt:i4>
      </vt:variant>
      <vt:variant>
        <vt:lpwstr>https://www.federalregister.gov/documents/2019/08/14/2019-17148/significant-newuse-rules-on-certain-chemical-substances-19-4b</vt:lpwstr>
      </vt:variant>
      <vt:variant>
        <vt:lpwstr/>
      </vt:variant>
      <vt:variant>
        <vt:i4>1900565</vt:i4>
      </vt:variant>
      <vt:variant>
        <vt:i4>30</vt:i4>
      </vt:variant>
      <vt:variant>
        <vt:i4>0</vt:i4>
      </vt:variant>
      <vt:variant>
        <vt:i4>5</vt:i4>
      </vt:variant>
      <vt:variant>
        <vt:lpwstr>https://pubs.acs.org/doi/pdf/10.1021/acs.estlett.0c00255</vt:lpwstr>
      </vt:variant>
      <vt:variant>
        <vt:lpwstr/>
      </vt:variant>
      <vt:variant>
        <vt:i4>1179649</vt:i4>
      </vt:variant>
      <vt:variant>
        <vt:i4>27</vt:i4>
      </vt:variant>
      <vt:variant>
        <vt:i4>0</vt:i4>
      </vt:variant>
      <vt:variant>
        <vt:i4>5</vt:i4>
      </vt:variant>
      <vt:variant>
        <vt:lpwstr>https://www.oecd.org/chemicalsafety/portal-perfluorinated-chemicals/</vt:lpwstr>
      </vt:variant>
      <vt:variant>
        <vt:lpwstr/>
      </vt:variant>
      <vt:variant>
        <vt:i4>7274560</vt:i4>
      </vt:variant>
      <vt:variant>
        <vt:i4>24</vt:i4>
      </vt:variant>
      <vt:variant>
        <vt:i4>0</vt:i4>
      </vt:variant>
      <vt:variant>
        <vt:i4>5</vt:i4>
      </vt:variant>
      <vt:variant>
        <vt:lpwstr>https://ww2.arb.ca.gov/sites/default/files/2020-07/19_10_04_arb_srp_ADA.pdf</vt:lpwstr>
      </vt:variant>
      <vt:variant>
        <vt:lpwstr/>
      </vt:variant>
      <vt:variant>
        <vt:i4>7012429</vt:i4>
      </vt:variant>
      <vt:variant>
        <vt:i4>21</vt:i4>
      </vt:variant>
      <vt:variant>
        <vt:i4>0</vt:i4>
      </vt:variant>
      <vt:variant>
        <vt:i4>5</vt:i4>
      </vt:variant>
      <vt:variant>
        <vt:lpwstr>https://ww2.arb.ca.gov/sites/default/files/2020-07/19_06_28_arb_srp_ADA.pdf</vt:lpwstr>
      </vt:variant>
      <vt:variant>
        <vt:lpwstr/>
      </vt:variant>
      <vt:variant>
        <vt:i4>2883700</vt:i4>
      </vt:variant>
      <vt:variant>
        <vt:i4>18</vt:i4>
      </vt:variant>
      <vt:variant>
        <vt:i4>0</vt:i4>
      </vt:variant>
      <vt:variant>
        <vt:i4>5</vt:i4>
      </vt:variant>
      <vt:variant>
        <vt:lpwstr>https://www.cdph.ca.gov/Programs/CCDPHP/DEODC/OHB/HESIS/CDPH Document Library/SB193-1-BP-Background.pdf</vt:lpwstr>
      </vt:variant>
      <vt:variant>
        <vt:lpwstr/>
      </vt:variant>
      <vt:variant>
        <vt:i4>8061038</vt:i4>
      </vt:variant>
      <vt:variant>
        <vt:i4>15</vt:i4>
      </vt:variant>
      <vt:variant>
        <vt:i4>0</vt:i4>
      </vt:variant>
      <vt:variant>
        <vt:i4>5</vt:i4>
      </vt:variant>
      <vt:variant>
        <vt:lpwstr>https://oehha.ca.gov/media/downloads/crnr/tsdcancerpotency.pdf</vt:lpwstr>
      </vt:variant>
      <vt:variant>
        <vt:lpwstr/>
      </vt:variant>
      <vt:variant>
        <vt:i4>4194388</vt:i4>
      </vt:variant>
      <vt:variant>
        <vt:i4>12</vt:i4>
      </vt:variant>
      <vt:variant>
        <vt:i4>0</vt:i4>
      </vt:variant>
      <vt:variant>
        <vt:i4>5</vt:i4>
      </vt:variant>
      <vt:variant>
        <vt:lpwstr>https://oehha.ca.gov/media/downloads/crnr/pcbtfiur080720.pdf</vt:lpwstr>
      </vt:variant>
      <vt:variant>
        <vt:lpwstr/>
      </vt:variant>
      <vt:variant>
        <vt:i4>7274606</vt:i4>
      </vt:variant>
      <vt:variant>
        <vt:i4>9</vt:i4>
      </vt:variant>
      <vt:variant>
        <vt:i4>0</vt:i4>
      </vt:variant>
      <vt:variant>
        <vt:i4>5</vt:i4>
      </vt:variant>
      <vt:variant>
        <vt:lpwstr>https://monographs.iarc.fr/list-of-classifications/</vt:lpwstr>
      </vt:variant>
      <vt:variant>
        <vt:lpwstr/>
      </vt:variant>
      <vt:variant>
        <vt:i4>69</vt:i4>
      </vt:variant>
      <vt:variant>
        <vt:i4>6</vt:i4>
      </vt:variant>
      <vt:variant>
        <vt:i4>0</vt:i4>
      </vt:variant>
      <vt:variant>
        <vt:i4>5</vt:i4>
      </vt:variant>
      <vt:variant>
        <vt:lpwstr>https://oehha.ca.gov/media/downloads/proposition-65/p65chemicalslist.pdf</vt:lpwstr>
      </vt:variant>
      <vt:variant>
        <vt:lpwstr/>
      </vt:variant>
      <vt:variant>
        <vt:i4>131140</vt:i4>
      </vt:variant>
      <vt:variant>
        <vt:i4>3</vt:i4>
      </vt:variant>
      <vt:variant>
        <vt:i4>0</vt:i4>
      </vt:variant>
      <vt:variant>
        <vt:i4>5</vt:i4>
      </vt:variant>
      <vt:variant>
        <vt:lpwstr>https://ww2.arb.ca.gov/sites/default/files/2022-08/2022_Gas_Station_IWG_Supplemental_ Policy_Guidance.pdf</vt:lpwstr>
      </vt:variant>
      <vt:variant>
        <vt:lpwstr/>
      </vt:variant>
      <vt:variant>
        <vt:i4>2031629</vt:i4>
      </vt:variant>
      <vt:variant>
        <vt:i4>0</vt:i4>
      </vt:variant>
      <vt:variant>
        <vt:i4>0</vt:i4>
      </vt:variant>
      <vt:variant>
        <vt:i4>5</vt:i4>
      </vt:variant>
      <vt:variant>
        <vt:lpwstr>https://www.epa.gov/risk/framework-cumulative-risk-assessment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Venecek</dc:creator>
  <cp:keywords/>
  <dc:description/>
  <cp:lastModifiedBy>Venecek, Melissa@ARB</cp:lastModifiedBy>
  <cp:revision>46</cp:revision>
  <dcterms:created xsi:type="dcterms:W3CDTF">2024-01-25T20:51:00Z</dcterms:created>
  <dcterms:modified xsi:type="dcterms:W3CDTF">2025-01-09T17:12:00Z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0x010100186F6BD0599F3A4FA6CCD7B5E6462884</vt:lpwstr>
  </property>
  <property fmtid="{D5CDD505-2E9C-101B-9397-08002B2CF9AE}" pid="3" name="MediaServiceImageTags">
    <vt:lpwstr/>
  </property>
</Properties>
</file>